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805816338"/>
        <w:docPartObj>
          <w:docPartGallery w:val="Cover Pages"/>
          <w:docPartUnique/>
        </w:docPartObj>
      </w:sdtPr>
      <w:sdtEndPr/>
      <w:sdtContent>
        <w:p w14:paraId="06E990BA" w14:textId="532670E0" w:rsidR="00FD72BD" w:rsidRDefault="00FD72BD">
          <w:r>
            <w:rPr>
              <w:noProof/>
              <w:lang w:val="en-GB" w:eastAsia="en-GB"/>
            </w:rPr>
            <w:drawing>
              <wp:anchor distT="0" distB="0" distL="114300" distR="114300" simplePos="0" relativeHeight="251658240" behindDoc="0" locked="0" layoutInCell="1" allowOverlap="1" wp14:anchorId="6CA4EB75" wp14:editId="19E850B0">
                <wp:simplePos x="0" y="0"/>
                <wp:positionH relativeFrom="margin">
                  <wp:align>left</wp:align>
                </wp:positionH>
                <wp:positionV relativeFrom="margin">
                  <wp:align>top</wp:align>
                </wp:positionV>
                <wp:extent cx="2692400" cy="9144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sim logo 4 color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2400" cy="914400"/>
                        </a:xfrm>
                        <a:prstGeom prst="rect">
                          <a:avLst/>
                        </a:prstGeom>
                      </pic:spPr>
                    </pic:pic>
                  </a:graphicData>
                </a:graphic>
                <wp14:sizeRelH relativeFrom="margin">
                  <wp14:pctWidth>0</wp14:pctWidth>
                </wp14:sizeRelH>
                <wp14:sizeRelV relativeFrom="margin">
                  <wp14:pctHeight>0</wp14:pctHeight>
                </wp14:sizeRelV>
              </wp:anchor>
            </w:drawing>
          </w:r>
        </w:p>
        <w:p w14:paraId="4D8B24B0" w14:textId="37D4AF6C" w:rsidR="00FD72BD" w:rsidRDefault="00FC0764">
          <w:r w:rsidRPr="00FA7B41">
            <w:rPr>
              <w:noProof/>
              <w:lang w:val="en-GB" w:eastAsia="en-GB"/>
            </w:rPr>
            <w:drawing>
              <wp:anchor distT="0" distB="0" distL="114300" distR="114300" simplePos="0" relativeHeight="251661312" behindDoc="1" locked="0" layoutInCell="1" allowOverlap="1" wp14:anchorId="3F29FFB0" wp14:editId="755A9660">
                <wp:simplePos x="0" y="0"/>
                <wp:positionH relativeFrom="page">
                  <wp:align>right</wp:align>
                </wp:positionH>
                <wp:positionV relativeFrom="margin">
                  <wp:posOffset>5140960</wp:posOffset>
                </wp:positionV>
                <wp:extent cx="4645025" cy="3189605"/>
                <wp:effectExtent l="0" t="0" r="317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pa EU Tesim RGB_Edited.png"/>
                        <pic:cNvPicPr/>
                      </pic:nvPicPr>
                      <pic:blipFill>
                        <a:blip r:embed="rId9">
                          <a:alphaModFix amt="35000"/>
                          <a:extLst>
                            <a:ext uri="{28A0092B-C50C-407E-A947-70E740481C1C}">
                              <a14:useLocalDpi xmlns:a14="http://schemas.microsoft.com/office/drawing/2010/main" val="0"/>
                            </a:ext>
                          </a:extLst>
                        </a:blip>
                        <a:stretch>
                          <a:fillRect/>
                        </a:stretch>
                      </pic:blipFill>
                      <pic:spPr>
                        <a:xfrm>
                          <a:off x="0" y="0"/>
                          <a:ext cx="4645025" cy="3189605"/>
                        </a:xfrm>
                        <a:prstGeom prst="rect">
                          <a:avLst/>
                        </a:prstGeom>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0288" behindDoc="0" locked="0" layoutInCell="1" allowOverlap="1" wp14:anchorId="7F4FD65B" wp14:editId="16F53DFF">
                    <wp:simplePos x="0" y="0"/>
                    <wp:positionH relativeFrom="margin">
                      <wp:posOffset>-967105</wp:posOffset>
                    </wp:positionH>
                    <wp:positionV relativeFrom="margin">
                      <wp:posOffset>8274685</wp:posOffset>
                    </wp:positionV>
                    <wp:extent cx="7772400" cy="909955"/>
                    <wp:effectExtent l="0" t="0" r="0" b="4445"/>
                    <wp:wrapSquare wrapText="bothSides"/>
                    <wp:docPr id="17" name="Text Box 17"/>
                    <wp:cNvGraphicFramePr/>
                    <a:graphic xmlns:a="http://schemas.openxmlformats.org/drawingml/2006/main">
                      <a:graphicData uri="http://schemas.microsoft.com/office/word/2010/wordprocessingShape">
                        <wps:wsp>
                          <wps:cNvSpPr txBox="1"/>
                          <wps:spPr>
                            <a:xfrm>
                              <a:off x="0" y="0"/>
                              <a:ext cx="7772400" cy="9099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ulaambquadrcula"/>
                                  <w:tblW w:w="15245" w:type="dxa"/>
                                  <w:tblLook w:val="04A0" w:firstRow="1" w:lastRow="0" w:firstColumn="1" w:lastColumn="0" w:noHBand="0" w:noVBand="1"/>
                                </w:tblPr>
                                <w:tblGrid>
                                  <w:gridCol w:w="4047"/>
                                  <w:gridCol w:w="4047"/>
                                  <w:gridCol w:w="4048"/>
                                  <w:gridCol w:w="3103"/>
                                </w:tblGrid>
                                <w:tr w:rsidR="00C24369" w:rsidRPr="0011662B" w14:paraId="51E2F4C1" w14:textId="77777777" w:rsidTr="00B3220C">
                                  <w:trPr>
                                    <w:trHeight w:val="416"/>
                                  </w:trPr>
                                  <w:tc>
                                    <w:tcPr>
                                      <w:tcW w:w="4047" w:type="dxa"/>
                                      <w:tcBorders>
                                        <w:top w:val="nil"/>
                                        <w:left w:val="nil"/>
                                        <w:bottom w:val="nil"/>
                                        <w:right w:val="nil"/>
                                      </w:tcBorders>
                                      <w:shd w:val="clear" w:color="auto" w:fill="5E175F"/>
                                      <w:vAlign w:val="center"/>
                                    </w:tcPr>
                                    <w:p w14:paraId="46070C32" w14:textId="6B813860" w:rsidR="00C24369" w:rsidRPr="0011662B" w:rsidRDefault="00C24369" w:rsidP="000F2705">
                                      <w:pPr>
                                        <w:pStyle w:val="Peu"/>
                                        <w:ind w:right="360"/>
                                        <w:jc w:val="center"/>
                                        <w:rPr>
                                          <w:sz w:val="16"/>
                                          <w:szCs w:val="16"/>
                                        </w:rPr>
                                      </w:pPr>
                                      <w:r w:rsidRPr="0011662B">
                                        <w:rPr>
                                          <w:sz w:val="16"/>
                                          <w:szCs w:val="16"/>
                                        </w:rPr>
                                        <w:t xml:space="preserve">A project funded by the European Union </w:t>
                                      </w:r>
                                    </w:p>
                                  </w:tc>
                                  <w:tc>
                                    <w:tcPr>
                                      <w:tcW w:w="4047" w:type="dxa"/>
                                      <w:tcBorders>
                                        <w:top w:val="nil"/>
                                        <w:left w:val="nil"/>
                                        <w:bottom w:val="nil"/>
                                        <w:right w:val="nil"/>
                                      </w:tcBorders>
                                      <w:shd w:val="clear" w:color="auto" w:fill="5E175F"/>
                                      <w:vAlign w:val="center"/>
                                    </w:tcPr>
                                    <w:p w14:paraId="176BB80D" w14:textId="010CC945" w:rsidR="00C24369" w:rsidRPr="0011662B" w:rsidRDefault="00C24369" w:rsidP="00BB4D87">
                                      <w:pPr>
                                        <w:pStyle w:val="Peu"/>
                                        <w:ind w:right="360"/>
                                        <w:jc w:val="center"/>
                                        <w:rPr>
                                          <w:sz w:val="16"/>
                                          <w:szCs w:val="16"/>
                                        </w:rPr>
                                      </w:pPr>
                                    </w:p>
                                  </w:tc>
                                  <w:tc>
                                    <w:tcPr>
                                      <w:tcW w:w="4048" w:type="dxa"/>
                                      <w:tcBorders>
                                        <w:top w:val="nil"/>
                                        <w:left w:val="nil"/>
                                        <w:bottom w:val="nil"/>
                                        <w:right w:val="nil"/>
                                      </w:tcBorders>
                                      <w:shd w:val="clear" w:color="auto" w:fill="5E175F"/>
                                      <w:vAlign w:val="center"/>
                                    </w:tcPr>
                                    <w:p w14:paraId="7B9BB927" w14:textId="575CB8E7" w:rsidR="00C24369" w:rsidRPr="0011662B" w:rsidRDefault="00C24369" w:rsidP="00B3220C">
                                      <w:pPr>
                                        <w:pStyle w:val="Peu"/>
                                        <w:ind w:right="360"/>
                                        <w:jc w:val="center"/>
                                        <w:rPr>
                                          <w:sz w:val="16"/>
                                          <w:szCs w:val="16"/>
                                        </w:rPr>
                                      </w:pPr>
                                      <w:r w:rsidRPr="0011662B">
                                        <w:rPr>
                                          <w:sz w:val="16"/>
                                          <w:szCs w:val="16"/>
                                        </w:rPr>
                                        <w:t>Implemented by a consortium led by</w:t>
                                      </w:r>
                                    </w:p>
                                  </w:tc>
                                  <w:tc>
                                    <w:tcPr>
                                      <w:tcW w:w="3103" w:type="dxa"/>
                                      <w:tcBorders>
                                        <w:left w:val="nil"/>
                                      </w:tcBorders>
                                      <w:shd w:val="clear" w:color="auto" w:fill="5E175F"/>
                                      <w:vAlign w:val="center"/>
                                    </w:tcPr>
                                    <w:p w14:paraId="1A80950E" w14:textId="6FD93A3A" w:rsidR="00C24369" w:rsidRPr="0011662B" w:rsidRDefault="00C24369" w:rsidP="00B3220C">
                                      <w:pPr>
                                        <w:pStyle w:val="Peu"/>
                                        <w:ind w:right="360"/>
                                        <w:rPr>
                                          <w:sz w:val="16"/>
                                          <w:szCs w:val="16"/>
                                        </w:rPr>
                                      </w:pPr>
                                    </w:p>
                                  </w:tc>
                                </w:tr>
                                <w:tr w:rsidR="00C24369" w14:paraId="3E7DF4AF" w14:textId="77777777" w:rsidTr="00B3220C">
                                  <w:trPr>
                                    <w:trHeight w:val="914"/>
                                  </w:trPr>
                                  <w:tc>
                                    <w:tcPr>
                                      <w:tcW w:w="4047" w:type="dxa"/>
                                      <w:tcBorders>
                                        <w:top w:val="nil"/>
                                        <w:left w:val="nil"/>
                                        <w:bottom w:val="nil"/>
                                        <w:right w:val="nil"/>
                                      </w:tcBorders>
                                      <w:vAlign w:val="center"/>
                                    </w:tcPr>
                                    <w:p w14:paraId="0AD47293" w14:textId="535A643D" w:rsidR="00C24369" w:rsidRDefault="00C24369" w:rsidP="00B3220C">
                                      <w:pPr>
                                        <w:pStyle w:val="Peu"/>
                                        <w:ind w:right="360"/>
                                        <w:jc w:val="center"/>
                                      </w:pPr>
                                      <w:r>
                                        <w:rPr>
                                          <w:noProof/>
                                          <w:lang w:val="en-GB" w:eastAsia="en-GB"/>
                                        </w:rPr>
                                        <w:drawing>
                                          <wp:inline distT="0" distB="0" distL="0" distR="0" wp14:anchorId="4DC45213" wp14:editId="7F8D7B8A">
                                            <wp:extent cx="564456" cy="377222"/>
                                            <wp:effectExtent l="0" t="0" r="0" b="381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ag_yellow_low.jpg"/>
                                                    <pic:cNvPicPr/>
                                                  </pic:nvPicPr>
                                                  <pic:blipFill>
                                                    <a:blip r:embed="rId10">
                                                      <a:extLst>
                                                        <a:ext uri="{28A0092B-C50C-407E-A947-70E740481C1C}">
                                                          <a14:useLocalDpi xmlns:a14="http://schemas.microsoft.com/office/drawing/2010/main" val="0"/>
                                                        </a:ext>
                                                      </a:extLst>
                                                    </a:blip>
                                                    <a:stretch>
                                                      <a:fillRect/>
                                                    </a:stretch>
                                                  </pic:blipFill>
                                                  <pic:spPr>
                                                    <a:xfrm>
                                                      <a:off x="0" y="0"/>
                                                      <a:ext cx="564456" cy="377222"/>
                                                    </a:xfrm>
                                                    <a:prstGeom prst="rect">
                                                      <a:avLst/>
                                                    </a:prstGeom>
                                                  </pic:spPr>
                                                </pic:pic>
                                              </a:graphicData>
                                            </a:graphic>
                                          </wp:inline>
                                        </w:drawing>
                                      </w:r>
                                    </w:p>
                                  </w:tc>
                                  <w:tc>
                                    <w:tcPr>
                                      <w:tcW w:w="4047" w:type="dxa"/>
                                      <w:tcBorders>
                                        <w:top w:val="nil"/>
                                        <w:left w:val="nil"/>
                                        <w:bottom w:val="nil"/>
                                        <w:right w:val="nil"/>
                                      </w:tcBorders>
                                      <w:vAlign w:val="center"/>
                                    </w:tcPr>
                                    <w:p w14:paraId="133C1871" w14:textId="62921828" w:rsidR="00C24369" w:rsidRDefault="00C24369" w:rsidP="00BB4D87">
                                      <w:pPr>
                                        <w:pStyle w:val="Peu"/>
                                        <w:ind w:right="360"/>
                                        <w:jc w:val="center"/>
                                      </w:pPr>
                                    </w:p>
                                  </w:tc>
                                  <w:tc>
                                    <w:tcPr>
                                      <w:tcW w:w="4048" w:type="dxa"/>
                                      <w:tcBorders>
                                        <w:top w:val="nil"/>
                                        <w:left w:val="nil"/>
                                        <w:bottom w:val="nil"/>
                                        <w:right w:val="nil"/>
                                      </w:tcBorders>
                                      <w:vAlign w:val="center"/>
                                    </w:tcPr>
                                    <w:p w14:paraId="4A63B5AB" w14:textId="35FF20EC" w:rsidR="00C24369" w:rsidRDefault="00C24369" w:rsidP="000F2705">
                                      <w:pPr>
                                        <w:pStyle w:val="Peu"/>
                                        <w:ind w:right="360"/>
                                        <w:jc w:val="center"/>
                                      </w:pPr>
                                      <w:r>
                                        <w:rPr>
                                          <w:noProof/>
                                          <w:szCs w:val="20"/>
                                          <w:lang w:val="en-GB" w:eastAsia="en-GB"/>
                                        </w:rPr>
                                        <w:drawing>
                                          <wp:inline distT="0" distB="0" distL="0" distR="0" wp14:anchorId="0281B80F" wp14:editId="457EC169">
                                            <wp:extent cx="734558" cy="406274"/>
                                            <wp:effectExtent l="0" t="0" r="254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1">
                                                      <a:extLst>
                                                        <a:ext uri="{28A0092B-C50C-407E-A947-70E740481C1C}">
                                                          <a14:useLocalDpi xmlns:a14="http://schemas.microsoft.com/office/drawing/2010/main" val="0"/>
                                                        </a:ext>
                                                      </a:extLst>
                                                    </a:blip>
                                                    <a:stretch>
                                                      <a:fillRect/>
                                                    </a:stretch>
                                                  </pic:blipFill>
                                                  <pic:spPr>
                                                    <a:xfrm>
                                                      <a:off x="0" y="0"/>
                                                      <a:ext cx="734558" cy="406274"/>
                                                    </a:xfrm>
                                                    <a:prstGeom prst="rect">
                                                      <a:avLst/>
                                                    </a:prstGeom>
                                                  </pic:spPr>
                                                </pic:pic>
                                              </a:graphicData>
                                            </a:graphic>
                                          </wp:inline>
                                        </w:drawing>
                                      </w:r>
                                    </w:p>
                                  </w:tc>
                                  <w:tc>
                                    <w:tcPr>
                                      <w:tcW w:w="3103" w:type="dxa"/>
                                      <w:tcBorders>
                                        <w:left w:val="nil"/>
                                      </w:tcBorders>
                                      <w:vAlign w:val="center"/>
                                    </w:tcPr>
                                    <w:p w14:paraId="038272E2" w14:textId="201B1790" w:rsidR="00C24369" w:rsidRDefault="00C24369" w:rsidP="00BB4D87">
                                      <w:pPr>
                                        <w:pStyle w:val="Peu"/>
                                        <w:ind w:right="360"/>
                                        <w:jc w:val="center"/>
                                      </w:pPr>
                                    </w:p>
                                  </w:tc>
                                </w:tr>
                              </w:tbl>
                              <w:p w14:paraId="76B1CF88" w14:textId="77777777" w:rsidR="00C24369" w:rsidRDefault="00C243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4FD65B" id="_x0000_t202" coordsize="21600,21600" o:spt="202" path="m,l,21600r21600,l21600,xe">
                    <v:stroke joinstyle="miter"/>
                    <v:path gradientshapeok="t" o:connecttype="rect"/>
                  </v:shapetype>
                  <v:shape id="Text Box 17" o:spid="_x0000_s1026" type="#_x0000_t202" style="position:absolute;margin-left:-76.15pt;margin-top:651.55pt;width:612pt;height:71.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lzzqQIAAKUFAAAOAAAAZHJzL2Uyb0RvYy54bWysVE1v2zAMvQ/YfxB0T+0ETtMYdQo3RYYB&#10;RVesHXpWZKkxJouapCTOhv33UbKdZt0uHXaxKfKJIh8/Lq/aRpGdsK4GXdDxWUqJ0ByqWj8X9Mvj&#10;anRBifNMV0yBFgU9CEevFu/fXe5NLiawAVUJS9CJdvneFHTjvcmTxPGNaJg7AyM0GiXYhnk82uek&#10;smyP3huVTNL0PNmDrYwFLpxD7U1npIvoX0rB/ScpnfBEFRRj8/Fr43cdvsnikuXPlplNzfsw2D9E&#10;0bBa46NHVzfMM7K19R+umppbcCD9GYcmASlrLmIOmM04fZXNw4YZEXNBcpw50uT+n1t+t7u3pK6w&#10;djNKNGuwRo+i9eQaWoIq5GdvXI6wB4NA36IesYPeoTKk3UrbhD8mRNCOTB+O7AZvHJWz2WySpWji&#10;aJun8/l0GtwkL7eNdf6DgIYEoaAWqxdJZbtb5zvoAAmPaVjVSsUKKv2bAn12GhFboLvNcowExYAM&#10;McXy/FhOZ5NyNp2PzsvpeJSN04tRWaaT0c2qTMs0Wy3n2fXPPs7hfhIo6VKPkj8oEbwq/VlIJDMy&#10;EBSxjcVSWbJj2ICMc6F9JC9GiOiAkpjFWy72+JhHzO8tlztGhpdB++PlptZgI9+vwq6+DiHLDo9F&#10;O8k7iL5dt32rrKE6YKdY6GbNGb6qsZy3zPl7ZnG4sANwYfhP+JEK9gWFXqJkA/b73/QBjz2PVkr2&#10;OKwFdd+2zApK1EeN0zAfZ1mY7njIsKJ4sKeW9alFb5slYDnGuJoMj2LAezWI0kLzhHulDK+iiWmO&#10;bxfUD+LSdysE9xIXZRlBOM+G+Vv9YHhwHaoTmvWxfWLW9B3tsYPuYBhrlr9q7A4bbmootx5kHbs+&#10;ENyx2hOPuyDOTb+3wrI5PUfUy3Zd/AIAAP//AwBQSwMEFAAGAAgAAAAhAHfKtgviAAAADwEAAA8A&#10;AABkcnMvZG93bnJldi54bWxMj01PwzAMhu9I/IfISNy2pGu3QWk6IRBXEOND4pY1XlvROFWTreXf&#10;zzuNm6330evHxWZynTjiEFpPGpK5AoFUedtSreHz42V2ByJEQ9Z0nlDDHwbYlNdXhcmtH+kdj9tY&#10;Cy6hkBsNTYx9LmWoGnQmzH2PxNneD85EXoda2sGMXO46uVBqJZ1piS80psenBqvf7cFp+Hrd/3xn&#10;6q1+dst+9JOS5O6l1rc30+MDiIhTvMBw1md1KNlp5w9kg+g0zJLlImWWk1SlCYgzo9bJGsSOpyxb&#10;ZSDLQv7/ozwBAAD//wMAUEsBAi0AFAAGAAgAAAAhALaDOJL+AAAA4QEAABMAAAAAAAAAAAAAAAAA&#10;AAAAAFtDb250ZW50X1R5cGVzXS54bWxQSwECLQAUAAYACAAAACEAOP0h/9YAAACUAQAACwAAAAAA&#10;AAAAAAAAAAAvAQAAX3JlbHMvLnJlbHNQSwECLQAUAAYACAAAACEAPc5c86kCAAClBQAADgAAAAAA&#10;AAAAAAAAAAAuAgAAZHJzL2Uyb0RvYy54bWxQSwECLQAUAAYACAAAACEAd8q2C+IAAAAPAQAADwAA&#10;AAAAAAAAAAAAAAADBQAAZHJzL2Rvd25yZXYueG1sUEsFBgAAAAAEAAQA8wAAABIGAAAAAA==&#10;" filled="f" stroked="f">
                    <v:textbox>
                      <w:txbxContent>
                        <w:tbl>
                          <w:tblPr>
                            <w:tblStyle w:val="Taulaambquadrcula"/>
                            <w:tblW w:w="15245" w:type="dxa"/>
                            <w:tblLook w:val="04A0" w:firstRow="1" w:lastRow="0" w:firstColumn="1" w:lastColumn="0" w:noHBand="0" w:noVBand="1"/>
                          </w:tblPr>
                          <w:tblGrid>
                            <w:gridCol w:w="4047"/>
                            <w:gridCol w:w="4047"/>
                            <w:gridCol w:w="4048"/>
                            <w:gridCol w:w="3103"/>
                          </w:tblGrid>
                          <w:tr w:rsidR="00C24369" w:rsidRPr="0011662B" w14:paraId="51E2F4C1" w14:textId="77777777" w:rsidTr="00B3220C">
                            <w:trPr>
                              <w:trHeight w:val="416"/>
                            </w:trPr>
                            <w:tc>
                              <w:tcPr>
                                <w:tcW w:w="4047" w:type="dxa"/>
                                <w:tcBorders>
                                  <w:top w:val="nil"/>
                                  <w:left w:val="nil"/>
                                  <w:bottom w:val="nil"/>
                                  <w:right w:val="nil"/>
                                </w:tcBorders>
                                <w:shd w:val="clear" w:color="auto" w:fill="5E175F"/>
                                <w:vAlign w:val="center"/>
                              </w:tcPr>
                              <w:p w14:paraId="46070C32" w14:textId="6B813860" w:rsidR="00C24369" w:rsidRPr="0011662B" w:rsidRDefault="00C24369" w:rsidP="000F2705">
                                <w:pPr>
                                  <w:pStyle w:val="Peu"/>
                                  <w:ind w:right="360"/>
                                  <w:jc w:val="center"/>
                                  <w:rPr>
                                    <w:sz w:val="16"/>
                                    <w:szCs w:val="16"/>
                                  </w:rPr>
                                </w:pPr>
                                <w:r w:rsidRPr="0011662B">
                                  <w:rPr>
                                    <w:sz w:val="16"/>
                                    <w:szCs w:val="16"/>
                                  </w:rPr>
                                  <w:t xml:space="preserve">A project funded by the European Union </w:t>
                                </w:r>
                              </w:p>
                            </w:tc>
                            <w:tc>
                              <w:tcPr>
                                <w:tcW w:w="4047" w:type="dxa"/>
                                <w:tcBorders>
                                  <w:top w:val="nil"/>
                                  <w:left w:val="nil"/>
                                  <w:bottom w:val="nil"/>
                                  <w:right w:val="nil"/>
                                </w:tcBorders>
                                <w:shd w:val="clear" w:color="auto" w:fill="5E175F"/>
                                <w:vAlign w:val="center"/>
                              </w:tcPr>
                              <w:p w14:paraId="176BB80D" w14:textId="010CC945" w:rsidR="00C24369" w:rsidRPr="0011662B" w:rsidRDefault="00C24369" w:rsidP="00BB4D87">
                                <w:pPr>
                                  <w:pStyle w:val="Peu"/>
                                  <w:ind w:right="360"/>
                                  <w:jc w:val="center"/>
                                  <w:rPr>
                                    <w:sz w:val="16"/>
                                    <w:szCs w:val="16"/>
                                  </w:rPr>
                                </w:pPr>
                              </w:p>
                            </w:tc>
                            <w:tc>
                              <w:tcPr>
                                <w:tcW w:w="4048" w:type="dxa"/>
                                <w:tcBorders>
                                  <w:top w:val="nil"/>
                                  <w:left w:val="nil"/>
                                  <w:bottom w:val="nil"/>
                                  <w:right w:val="nil"/>
                                </w:tcBorders>
                                <w:shd w:val="clear" w:color="auto" w:fill="5E175F"/>
                                <w:vAlign w:val="center"/>
                              </w:tcPr>
                              <w:p w14:paraId="7B9BB927" w14:textId="575CB8E7" w:rsidR="00C24369" w:rsidRPr="0011662B" w:rsidRDefault="00C24369" w:rsidP="00B3220C">
                                <w:pPr>
                                  <w:pStyle w:val="Peu"/>
                                  <w:ind w:right="360"/>
                                  <w:jc w:val="center"/>
                                  <w:rPr>
                                    <w:sz w:val="16"/>
                                    <w:szCs w:val="16"/>
                                  </w:rPr>
                                </w:pPr>
                                <w:r w:rsidRPr="0011662B">
                                  <w:rPr>
                                    <w:sz w:val="16"/>
                                    <w:szCs w:val="16"/>
                                  </w:rPr>
                                  <w:t>Implemented by a consortium led by</w:t>
                                </w:r>
                              </w:p>
                            </w:tc>
                            <w:tc>
                              <w:tcPr>
                                <w:tcW w:w="3103" w:type="dxa"/>
                                <w:tcBorders>
                                  <w:left w:val="nil"/>
                                </w:tcBorders>
                                <w:shd w:val="clear" w:color="auto" w:fill="5E175F"/>
                                <w:vAlign w:val="center"/>
                              </w:tcPr>
                              <w:p w14:paraId="1A80950E" w14:textId="6FD93A3A" w:rsidR="00C24369" w:rsidRPr="0011662B" w:rsidRDefault="00C24369" w:rsidP="00B3220C">
                                <w:pPr>
                                  <w:pStyle w:val="Peu"/>
                                  <w:ind w:right="360"/>
                                  <w:rPr>
                                    <w:sz w:val="16"/>
                                    <w:szCs w:val="16"/>
                                  </w:rPr>
                                </w:pPr>
                              </w:p>
                            </w:tc>
                          </w:tr>
                          <w:tr w:rsidR="00C24369" w14:paraId="3E7DF4AF" w14:textId="77777777" w:rsidTr="00B3220C">
                            <w:trPr>
                              <w:trHeight w:val="914"/>
                            </w:trPr>
                            <w:tc>
                              <w:tcPr>
                                <w:tcW w:w="4047" w:type="dxa"/>
                                <w:tcBorders>
                                  <w:top w:val="nil"/>
                                  <w:left w:val="nil"/>
                                  <w:bottom w:val="nil"/>
                                  <w:right w:val="nil"/>
                                </w:tcBorders>
                                <w:vAlign w:val="center"/>
                              </w:tcPr>
                              <w:p w14:paraId="0AD47293" w14:textId="535A643D" w:rsidR="00C24369" w:rsidRDefault="00C24369" w:rsidP="00B3220C">
                                <w:pPr>
                                  <w:pStyle w:val="Peu"/>
                                  <w:ind w:right="360"/>
                                  <w:jc w:val="center"/>
                                </w:pPr>
                                <w:r>
                                  <w:rPr>
                                    <w:noProof/>
                                    <w:lang w:val="en-GB" w:eastAsia="en-GB"/>
                                  </w:rPr>
                                  <w:drawing>
                                    <wp:inline distT="0" distB="0" distL="0" distR="0" wp14:anchorId="4DC45213" wp14:editId="7F8D7B8A">
                                      <wp:extent cx="564456" cy="377222"/>
                                      <wp:effectExtent l="0" t="0" r="0" b="381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ag_yellow_low.jpg"/>
                                              <pic:cNvPicPr/>
                                            </pic:nvPicPr>
                                            <pic:blipFill>
                                              <a:blip r:embed="rId10">
                                                <a:extLst>
                                                  <a:ext uri="{28A0092B-C50C-407E-A947-70E740481C1C}">
                                                    <a14:useLocalDpi xmlns:a14="http://schemas.microsoft.com/office/drawing/2010/main" val="0"/>
                                                  </a:ext>
                                                </a:extLst>
                                              </a:blip>
                                              <a:stretch>
                                                <a:fillRect/>
                                              </a:stretch>
                                            </pic:blipFill>
                                            <pic:spPr>
                                              <a:xfrm>
                                                <a:off x="0" y="0"/>
                                                <a:ext cx="564456" cy="377222"/>
                                              </a:xfrm>
                                              <a:prstGeom prst="rect">
                                                <a:avLst/>
                                              </a:prstGeom>
                                            </pic:spPr>
                                          </pic:pic>
                                        </a:graphicData>
                                      </a:graphic>
                                    </wp:inline>
                                  </w:drawing>
                                </w:r>
                              </w:p>
                            </w:tc>
                            <w:tc>
                              <w:tcPr>
                                <w:tcW w:w="4047" w:type="dxa"/>
                                <w:tcBorders>
                                  <w:top w:val="nil"/>
                                  <w:left w:val="nil"/>
                                  <w:bottom w:val="nil"/>
                                  <w:right w:val="nil"/>
                                </w:tcBorders>
                                <w:vAlign w:val="center"/>
                              </w:tcPr>
                              <w:p w14:paraId="133C1871" w14:textId="62921828" w:rsidR="00C24369" w:rsidRDefault="00C24369" w:rsidP="00BB4D87">
                                <w:pPr>
                                  <w:pStyle w:val="Peu"/>
                                  <w:ind w:right="360"/>
                                  <w:jc w:val="center"/>
                                </w:pPr>
                              </w:p>
                            </w:tc>
                            <w:tc>
                              <w:tcPr>
                                <w:tcW w:w="4048" w:type="dxa"/>
                                <w:tcBorders>
                                  <w:top w:val="nil"/>
                                  <w:left w:val="nil"/>
                                  <w:bottom w:val="nil"/>
                                  <w:right w:val="nil"/>
                                </w:tcBorders>
                                <w:vAlign w:val="center"/>
                              </w:tcPr>
                              <w:p w14:paraId="4A63B5AB" w14:textId="35FF20EC" w:rsidR="00C24369" w:rsidRDefault="00C24369" w:rsidP="000F2705">
                                <w:pPr>
                                  <w:pStyle w:val="Peu"/>
                                  <w:ind w:right="360"/>
                                  <w:jc w:val="center"/>
                                </w:pPr>
                                <w:r>
                                  <w:rPr>
                                    <w:noProof/>
                                    <w:szCs w:val="20"/>
                                    <w:lang w:val="en-GB" w:eastAsia="en-GB"/>
                                  </w:rPr>
                                  <w:drawing>
                                    <wp:inline distT="0" distB="0" distL="0" distR="0" wp14:anchorId="0281B80F" wp14:editId="457EC169">
                                      <wp:extent cx="734558" cy="406274"/>
                                      <wp:effectExtent l="0" t="0" r="254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1">
                                                <a:extLst>
                                                  <a:ext uri="{28A0092B-C50C-407E-A947-70E740481C1C}">
                                                    <a14:useLocalDpi xmlns:a14="http://schemas.microsoft.com/office/drawing/2010/main" val="0"/>
                                                  </a:ext>
                                                </a:extLst>
                                              </a:blip>
                                              <a:stretch>
                                                <a:fillRect/>
                                              </a:stretch>
                                            </pic:blipFill>
                                            <pic:spPr>
                                              <a:xfrm>
                                                <a:off x="0" y="0"/>
                                                <a:ext cx="734558" cy="406274"/>
                                              </a:xfrm>
                                              <a:prstGeom prst="rect">
                                                <a:avLst/>
                                              </a:prstGeom>
                                            </pic:spPr>
                                          </pic:pic>
                                        </a:graphicData>
                                      </a:graphic>
                                    </wp:inline>
                                  </w:drawing>
                                </w:r>
                              </w:p>
                            </w:tc>
                            <w:tc>
                              <w:tcPr>
                                <w:tcW w:w="3103" w:type="dxa"/>
                                <w:tcBorders>
                                  <w:left w:val="nil"/>
                                </w:tcBorders>
                                <w:vAlign w:val="center"/>
                              </w:tcPr>
                              <w:p w14:paraId="038272E2" w14:textId="201B1790" w:rsidR="00C24369" w:rsidRDefault="00C24369" w:rsidP="00BB4D87">
                                <w:pPr>
                                  <w:pStyle w:val="Peu"/>
                                  <w:ind w:right="360"/>
                                  <w:jc w:val="center"/>
                                </w:pPr>
                              </w:p>
                            </w:tc>
                          </w:tr>
                        </w:tbl>
                        <w:p w14:paraId="76B1CF88" w14:textId="77777777" w:rsidR="00C24369" w:rsidRDefault="00C24369"/>
                      </w:txbxContent>
                    </v:textbox>
                    <w10:wrap type="square" anchorx="margin" anchory="margin"/>
                  </v:shape>
                </w:pict>
              </mc:Fallback>
            </mc:AlternateContent>
          </w:r>
          <w:r w:rsidR="00FA7B41">
            <w:rPr>
              <w:noProof/>
              <w:lang w:val="en-GB" w:eastAsia="en-GB"/>
            </w:rPr>
            <mc:AlternateContent>
              <mc:Choice Requires="wps">
                <w:drawing>
                  <wp:anchor distT="0" distB="0" distL="114300" distR="114300" simplePos="0" relativeHeight="251659264" behindDoc="0" locked="0" layoutInCell="1" allowOverlap="1" wp14:anchorId="6DF06293" wp14:editId="4CC9F79B">
                    <wp:simplePos x="0" y="0"/>
                    <wp:positionH relativeFrom="margin">
                      <wp:posOffset>342900</wp:posOffset>
                    </wp:positionH>
                    <wp:positionV relativeFrom="margin">
                      <wp:posOffset>2286000</wp:posOffset>
                    </wp:positionV>
                    <wp:extent cx="5372100" cy="2425700"/>
                    <wp:effectExtent l="0" t="0" r="0" b="12700"/>
                    <wp:wrapSquare wrapText="bothSides"/>
                    <wp:docPr id="8" name="Text Box 8"/>
                    <wp:cNvGraphicFramePr/>
                    <a:graphic xmlns:a="http://schemas.openxmlformats.org/drawingml/2006/main">
                      <a:graphicData uri="http://schemas.microsoft.com/office/word/2010/wordprocessingShape">
                        <wps:wsp>
                          <wps:cNvSpPr txBox="1"/>
                          <wps:spPr>
                            <a:xfrm>
                              <a:off x="0" y="0"/>
                              <a:ext cx="5372100" cy="24257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F0D7D2" w14:textId="1CEE43C7" w:rsidR="00C24369" w:rsidRDefault="00DA717D" w:rsidP="00FD72BD">
                                <w:pPr>
                                  <w:pStyle w:val="Ttol"/>
                                </w:pPr>
                                <w:r>
                                  <w:t xml:space="preserve">Toolkit </w:t>
                                </w:r>
                                <w:r w:rsidR="00E14299">
                                  <w:t>with</w:t>
                                </w:r>
                                <w:r>
                                  <w:t xml:space="preserve"> working papers for expenditure verification</w:t>
                                </w:r>
                              </w:p>
                              <w:p w14:paraId="6F71057C" w14:textId="77777777" w:rsidR="00C24369" w:rsidRDefault="00C24369" w:rsidP="00B3220C"/>
                              <w:p w14:paraId="08E7AF29" w14:textId="784F6C06" w:rsidR="00C24369" w:rsidRDefault="00DA717D" w:rsidP="00B3220C">
                                <w:pPr>
                                  <w:pStyle w:val="Subttol"/>
                                </w:pPr>
                                <w:r>
                                  <w:rPr>
                                    <w:sz w:val="24"/>
                                  </w:rPr>
                                  <w:t>Module for programme bodies and national authorities</w:t>
                                </w:r>
                              </w:p>
                              <w:p w14:paraId="527C3CD8" w14:textId="74144F8B" w:rsidR="00C24369" w:rsidRPr="00B3220C" w:rsidRDefault="00DA717D" w:rsidP="00B3220C">
                                <w:pPr>
                                  <w:pStyle w:val="Subttol"/>
                                </w:pPr>
                                <w:r>
                                  <w:t>March</w:t>
                                </w:r>
                                <w:r w:rsidR="00C24369">
                                  <w:t xml:space="preserve">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06293" id="Text Box 8" o:spid="_x0000_s1027" type="#_x0000_t202" style="position:absolute;margin-left:27pt;margin-top:180pt;width:423pt;height:19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qPQrAIAAKsFAAAOAAAAZHJzL2Uyb0RvYy54bWysVE1v2zAMvQ/YfxB0T21nTtMadQo3RYYB&#10;RVusHXpWZKkxZouapMTOhv33UbKdZt0uHXaxKfKJIh8/Li67piY7YWwFKqfJSUyJUBzKSj3n9Mvj&#10;anJGiXVMlawGJXK6F5ZeLt6/u2h1JqawgboUhqATZbNW53TjnM6iyPKNaJg9AS0UGiWYhjk8mueo&#10;NKxF700dTeP4NGrBlNoAF9ai9ro30kXwL6Xg7k5KKxypc4qxufA14bv232hxwbJnw/Sm4kMY7B+i&#10;aFil8NGDq2vmGNma6g9XTcUNWJDuhEMTgZQVFyEHzCaJX2XzsGFahFyQHKsPNNn/55bf7u4Nqcqc&#10;YqEUa7BEj6Jz5Ao6cubZabXNEPSgEeY6VGOVR71FpU+6k6bxf0yHoB153h+49c44Kmcf5tMkRhNH&#10;2zSdzuZ4QP/Ry3VtrPsooCFeyKnB4gVO2e7Guh46QvxrClZVXYcC1uo3BfrsNSJ0QH+bZRgKih7p&#10;gwrV+bGczafFfHY+OS1mySRN4rNJUcTTyfWqiIs4XS3P06ufQ5zj/chz0uceJLevhfdaq89CIpeB&#10;Aq8IXSyWtSE7hv3HOBfKBfZChIj2KIlZvOXigA95hPzecrlnZHwZlDtcbioFJvD9Kuzy6xiy7PFY&#10;tKO8vei6dRea6NAaayj32DEG+omzmq8qrOoNs+6eGRwx7ARcG+4OP7KGNqcwSJRswHz/m97jsfPR&#10;SkmLI5tT+23LjKCk/qRwJs6TNPUzHg4pFhYP5tiyPraobbMErEqCC0rzIHq8q0dRGmiecLsU/lU0&#10;McXx7Zy6UVy6fpHgduKiKAIIp1ozd6MeNPeufZF8zz52T8zoobEdNtItjMPNslf93WP9TQXF1oGs&#10;QvN7nntWB/5xI4TxGbaXXznH54B62bGLXwAAAP//AwBQSwMEFAAGAAgAAAAhADsaBmPdAAAACgEA&#10;AA8AAABkcnMvZG93bnJldi54bWxMj81OwzAQhO9IvIO1SNyoTUkLDdlUCMQV1PIjcXPjbRIRr6PY&#10;bcLbsz3BbUY7mv2mWE++U0caYhsY4XpmQBFXwbVcI7y/PV/dgYrJsrNdYEL4oQjr8vyssLkLI2/o&#10;uE21khKOuUVoUupzrWPVkLdxFnpiue3D4G0SO9TaDXaUct/puTFL7W3L8qGxPT02VH1vDx7h42X/&#10;9ZmZ1/rJL/oxTEazX2nEy4vp4R5Uoin9heGEL+hQCtMuHNhF1SEsMpmSEG6WRoQEVuYkdgi32dyA&#10;Lgv9f0L5CwAA//8DAFBLAQItABQABgAIAAAAIQC2gziS/gAAAOEBAAATAAAAAAAAAAAAAAAAAAAA&#10;AABbQ29udGVudF9UeXBlc10ueG1sUEsBAi0AFAAGAAgAAAAhADj9If/WAAAAlAEAAAsAAAAAAAAA&#10;AAAAAAAALwEAAF9yZWxzLy5yZWxzUEsBAi0AFAAGAAgAAAAhAFomo9CsAgAAqwUAAA4AAAAAAAAA&#10;AAAAAAAALgIAAGRycy9lMm9Eb2MueG1sUEsBAi0AFAAGAAgAAAAhADsaBmPdAAAACgEAAA8AAAAA&#10;AAAAAAAAAAAABgUAAGRycy9kb3ducmV2LnhtbFBLBQYAAAAABAAEAPMAAAAQBgAAAAA=&#10;" filled="f" stroked="f">
                    <v:textbox>
                      <w:txbxContent>
                        <w:p w14:paraId="0DF0D7D2" w14:textId="1CEE43C7" w:rsidR="00C24369" w:rsidRDefault="00DA717D" w:rsidP="00FD72BD">
                          <w:pPr>
                            <w:pStyle w:val="Ttol"/>
                          </w:pPr>
                          <w:r>
                            <w:t xml:space="preserve">Toolkit </w:t>
                          </w:r>
                          <w:r w:rsidR="00E14299">
                            <w:t>with</w:t>
                          </w:r>
                          <w:r>
                            <w:t xml:space="preserve"> working papers for expenditure verification</w:t>
                          </w:r>
                        </w:p>
                        <w:p w14:paraId="6F71057C" w14:textId="77777777" w:rsidR="00C24369" w:rsidRDefault="00C24369" w:rsidP="00B3220C"/>
                        <w:p w14:paraId="08E7AF29" w14:textId="784F6C06" w:rsidR="00C24369" w:rsidRDefault="00DA717D" w:rsidP="00B3220C">
                          <w:pPr>
                            <w:pStyle w:val="Subttol"/>
                          </w:pPr>
                          <w:r>
                            <w:rPr>
                              <w:sz w:val="24"/>
                            </w:rPr>
                            <w:t>Module for programme bodies and national authorities</w:t>
                          </w:r>
                        </w:p>
                        <w:p w14:paraId="527C3CD8" w14:textId="74144F8B" w:rsidR="00C24369" w:rsidRPr="00B3220C" w:rsidRDefault="00DA717D" w:rsidP="00B3220C">
                          <w:pPr>
                            <w:pStyle w:val="Subttol"/>
                          </w:pPr>
                          <w:r>
                            <w:t>March</w:t>
                          </w:r>
                          <w:r w:rsidR="00C24369">
                            <w:t xml:space="preserve"> 2019</w:t>
                          </w:r>
                        </w:p>
                      </w:txbxContent>
                    </v:textbox>
                    <w10:wrap type="square" anchorx="margin" anchory="margin"/>
                  </v:shape>
                </w:pict>
              </mc:Fallback>
            </mc:AlternateContent>
          </w:r>
          <w:r w:rsidR="00FD72BD">
            <w:br w:type="page"/>
          </w:r>
        </w:p>
      </w:sdtContent>
    </w:sdt>
    <w:bookmarkStart w:id="0" w:name="_Toc517889171" w:displacedByCustomXml="next"/>
    <w:sdt>
      <w:sdtPr>
        <w:rPr>
          <w:rFonts w:ascii="Century Gothic" w:eastAsiaTheme="minorHAnsi" w:hAnsi="Century Gothic" w:cstheme="minorBidi"/>
          <w:color w:val="auto"/>
          <w:sz w:val="24"/>
          <w:szCs w:val="24"/>
          <w:lang w:val="en-US" w:eastAsia="en-US"/>
        </w:rPr>
        <w:id w:val="-823669620"/>
        <w:docPartObj>
          <w:docPartGallery w:val="Table of Contents"/>
          <w:docPartUnique/>
        </w:docPartObj>
      </w:sdtPr>
      <w:sdtEndPr>
        <w:rPr>
          <w:b/>
          <w:bCs/>
        </w:rPr>
      </w:sdtEndPr>
      <w:sdtContent>
        <w:p w14:paraId="3AE64B2D" w14:textId="0B768E01" w:rsidR="00400145" w:rsidRDefault="00400145">
          <w:pPr>
            <w:pStyle w:val="TtoldelIDC"/>
          </w:pPr>
          <w:r>
            <w:rPr>
              <w:rFonts w:ascii="Century Gothic" w:hAnsi="Century Gothic"/>
              <w:color w:val="762870"/>
              <w:lang w:val="en-US" w:eastAsia="en-US"/>
            </w:rPr>
            <w:t>Table of contents</w:t>
          </w:r>
        </w:p>
        <w:p w14:paraId="3BA24369" w14:textId="00118C18" w:rsidR="00EC3F3B" w:rsidRDefault="00400145">
          <w:pPr>
            <w:pStyle w:val="IDC1"/>
            <w:tabs>
              <w:tab w:val="left" w:pos="480"/>
              <w:tab w:val="right" w:leader="dot" w:pos="9010"/>
            </w:tabs>
            <w:rPr>
              <w:rFonts w:asciiTheme="minorHAnsi" w:eastAsiaTheme="minorEastAsia" w:hAnsiTheme="minorHAnsi"/>
              <w:noProof/>
              <w:sz w:val="22"/>
              <w:szCs w:val="22"/>
              <w:lang w:val="ca-ES" w:eastAsia="ca-ES"/>
            </w:rPr>
          </w:pPr>
          <w:r>
            <w:rPr>
              <w:b/>
              <w:bCs/>
            </w:rPr>
            <w:fldChar w:fldCharType="begin"/>
          </w:r>
          <w:r>
            <w:rPr>
              <w:b/>
              <w:bCs/>
            </w:rPr>
            <w:instrText xml:space="preserve"> TOC \o "1-3" \h \z \u </w:instrText>
          </w:r>
          <w:r>
            <w:rPr>
              <w:b/>
              <w:bCs/>
            </w:rPr>
            <w:fldChar w:fldCharType="separate"/>
          </w:r>
          <w:bookmarkStart w:id="1" w:name="_GoBack"/>
          <w:bookmarkEnd w:id="1"/>
          <w:r w:rsidR="00EC3F3B" w:rsidRPr="005521B6">
            <w:rPr>
              <w:rStyle w:val="Enlla"/>
              <w:noProof/>
            </w:rPr>
            <w:fldChar w:fldCharType="begin"/>
          </w:r>
          <w:r w:rsidR="00EC3F3B" w:rsidRPr="005521B6">
            <w:rPr>
              <w:rStyle w:val="Enlla"/>
              <w:noProof/>
            </w:rPr>
            <w:instrText xml:space="preserve"> </w:instrText>
          </w:r>
          <w:r w:rsidR="00EC3F3B">
            <w:rPr>
              <w:noProof/>
            </w:rPr>
            <w:instrText>HYPERLINK \l "_Toc2865965"</w:instrText>
          </w:r>
          <w:r w:rsidR="00EC3F3B" w:rsidRPr="005521B6">
            <w:rPr>
              <w:rStyle w:val="Enlla"/>
              <w:noProof/>
            </w:rPr>
            <w:instrText xml:space="preserve"> </w:instrText>
          </w:r>
          <w:r w:rsidR="00EC3F3B" w:rsidRPr="005521B6">
            <w:rPr>
              <w:rStyle w:val="Enlla"/>
              <w:noProof/>
            </w:rPr>
          </w:r>
          <w:r w:rsidR="00EC3F3B" w:rsidRPr="005521B6">
            <w:rPr>
              <w:rStyle w:val="Enlla"/>
              <w:noProof/>
            </w:rPr>
            <w:fldChar w:fldCharType="separate"/>
          </w:r>
          <w:r w:rsidR="00EC3F3B" w:rsidRPr="005521B6">
            <w:rPr>
              <w:rStyle w:val="Enlla"/>
              <w:noProof/>
            </w:rPr>
            <w:t>1.</w:t>
          </w:r>
          <w:r w:rsidR="00EC3F3B">
            <w:rPr>
              <w:rFonts w:asciiTheme="minorHAnsi" w:eastAsiaTheme="minorEastAsia" w:hAnsiTheme="minorHAnsi"/>
              <w:noProof/>
              <w:sz w:val="22"/>
              <w:szCs w:val="22"/>
              <w:lang w:val="ca-ES" w:eastAsia="ca-ES"/>
            </w:rPr>
            <w:tab/>
          </w:r>
          <w:r w:rsidR="00EC3F3B" w:rsidRPr="005521B6">
            <w:rPr>
              <w:rStyle w:val="Enlla"/>
              <w:noProof/>
            </w:rPr>
            <w:t>Aim of this toolkit</w:t>
          </w:r>
          <w:r w:rsidR="00EC3F3B">
            <w:rPr>
              <w:noProof/>
              <w:webHidden/>
            </w:rPr>
            <w:tab/>
          </w:r>
          <w:r w:rsidR="00EC3F3B">
            <w:rPr>
              <w:noProof/>
              <w:webHidden/>
            </w:rPr>
            <w:fldChar w:fldCharType="begin"/>
          </w:r>
          <w:r w:rsidR="00EC3F3B">
            <w:rPr>
              <w:noProof/>
              <w:webHidden/>
            </w:rPr>
            <w:instrText xml:space="preserve"> PAGEREF _Toc2865965 \h </w:instrText>
          </w:r>
          <w:r w:rsidR="00EC3F3B">
            <w:rPr>
              <w:noProof/>
              <w:webHidden/>
            </w:rPr>
          </w:r>
          <w:r w:rsidR="00EC3F3B">
            <w:rPr>
              <w:noProof/>
              <w:webHidden/>
            </w:rPr>
            <w:fldChar w:fldCharType="separate"/>
          </w:r>
          <w:r w:rsidR="00EC3F3B">
            <w:rPr>
              <w:noProof/>
              <w:webHidden/>
            </w:rPr>
            <w:t>3</w:t>
          </w:r>
          <w:r w:rsidR="00EC3F3B">
            <w:rPr>
              <w:noProof/>
              <w:webHidden/>
            </w:rPr>
            <w:fldChar w:fldCharType="end"/>
          </w:r>
          <w:r w:rsidR="00EC3F3B" w:rsidRPr="005521B6">
            <w:rPr>
              <w:rStyle w:val="Enlla"/>
              <w:noProof/>
            </w:rPr>
            <w:fldChar w:fldCharType="end"/>
          </w:r>
        </w:p>
        <w:p w14:paraId="5B00E7D0" w14:textId="0202D1E9" w:rsidR="00EC3F3B" w:rsidRDefault="00EC3F3B">
          <w:pPr>
            <w:pStyle w:val="IDC1"/>
            <w:tabs>
              <w:tab w:val="left" w:pos="480"/>
              <w:tab w:val="right" w:leader="dot" w:pos="9010"/>
            </w:tabs>
            <w:rPr>
              <w:rFonts w:asciiTheme="minorHAnsi" w:eastAsiaTheme="minorEastAsia" w:hAnsiTheme="minorHAnsi"/>
              <w:noProof/>
              <w:sz w:val="22"/>
              <w:szCs w:val="22"/>
              <w:lang w:val="ca-ES" w:eastAsia="ca-ES"/>
            </w:rPr>
          </w:pPr>
          <w:hyperlink w:anchor="_Toc2865966" w:history="1">
            <w:r w:rsidRPr="005521B6">
              <w:rPr>
                <w:rStyle w:val="Enlla"/>
                <w:noProof/>
              </w:rPr>
              <w:t>2.</w:t>
            </w:r>
            <w:r>
              <w:rPr>
                <w:rFonts w:asciiTheme="minorHAnsi" w:eastAsiaTheme="minorEastAsia" w:hAnsiTheme="minorHAnsi"/>
                <w:noProof/>
                <w:sz w:val="22"/>
                <w:szCs w:val="22"/>
                <w:lang w:val="ca-ES" w:eastAsia="ca-ES"/>
              </w:rPr>
              <w:tab/>
            </w:r>
            <w:r w:rsidRPr="005521B6">
              <w:rPr>
                <w:rStyle w:val="Enlla"/>
                <w:noProof/>
              </w:rPr>
              <w:t>Building assurance in ENI CBC programmes</w:t>
            </w:r>
            <w:r>
              <w:rPr>
                <w:noProof/>
                <w:webHidden/>
              </w:rPr>
              <w:tab/>
            </w:r>
            <w:r>
              <w:rPr>
                <w:noProof/>
                <w:webHidden/>
              </w:rPr>
              <w:fldChar w:fldCharType="begin"/>
            </w:r>
            <w:r>
              <w:rPr>
                <w:noProof/>
                <w:webHidden/>
              </w:rPr>
              <w:instrText xml:space="preserve"> PAGEREF _Toc2865966 \h </w:instrText>
            </w:r>
            <w:r>
              <w:rPr>
                <w:noProof/>
                <w:webHidden/>
              </w:rPr>
            </w:r>
            <w:r>
              <w:rPr>
                <w:noProof/>
                <w:webHidden/>
              </w:rPr>
              <w:fldChar w:fldCharType="separate"/>
            </w:r>
            <w:r>
              <w:rPr>
                <w:noProof/>
                <w:webHidden/>
              </w:rPr>
              <w:t>4</w:t>
            </w:r>
            <w:r>
              <w:rPr>
                <w:noProof/>
                <w:webHidden/>
              </w:rPr>
              <w:fldChar w:fldCharType="end"/>
            </w:r>
          </w:hyperlink>
        </w:p>
        <w:p w14:paraId="4CC9FA24" w14:textId="1FDEDDCF" w:rsidR="00EC3F3B" w:rsidRDefault="00EC3F3B">
          <w:pPr>
            <w:pStyle w:val="IDC1"/>
            <w:tabs>
              <w:tab w:val="left" w:pos="480"/>
              <w:tab w:val="right" w:leader="dot" w:pos="9010"/>
            </w:tabs>
            <w:rPr>
              <w:rFonts w:asciiTheme="minorHAnsi" w:eastAsiaTheme="minorEastAsia" w:hAnsiTheme="minorHAnsi"/>
              <w:noProof/>
              <w:sz w:val="22"/>
              <w:szCs w:val="22"/>
              <w:lang w:val="ca-ES" w:eastAsia="ca-ES"/>
            </w:rPr>
          </w:pPr>
          <w:hyperlink w:anchor="_Toc2865967" w:history="1">
            <w:r w:rsidRPr="005521B6">
              <w:rPr>
                <w:rStyle w:val="Enlla"/>
                <w:noProof/>
              </w:rPr>
              <w:t>3.</w:t>
            </w:r>
            <w:r>
              <w:rPr>
                <w:rFonts w:asciiTheme="minorHAnsi" w:eastAsiaTheme="minorEastAsia" w:hAnsiTheme="minorHAnsi"/>
                <w:noProof/>
                <w:sz w:val="22"/>
                <w:szCs w:val="22"/>
                <w:lang w:val="ca-ES" w:eastAsia="ca-ES"/>
              </w:rPr>
              <w:tab/>
            </w:r>
            <w:r w:rsidRPr="005521B6">
              <w:rPr>
                <w:rStyle w:val="Enlla"/>
                <w:noProof/>
              </w:rPr>
              <w:t>Checking the work of auditors: the working papers</w:t>
            </w:r>
            <w:r>
              <w:rPr>
                <w:noProof/>
                <w:webHidden/>
              </w:rPr>
              <w:tab/>
            </w:r>
            <w:r>
              <w:rPr>
                <w:noProof/>
                <w:webHidden/>
              </w:rPr>
              <w:fldChar w:fldCharType="begin"/>
            </w:r>
            <w:r>
              <w:rPr>
                <w:noProof/>
                <w:webHidden/>
              </w:rPr>
              <w:instrText xml:space="preserve"> PAGEREF _Toc2865967 \h </w:instrText>
            </w:r>
            <w:r>
              <w:rPr>
                <w:noProof/>
                <w:webHidden/>
              </w:rPr>
            </w:r>
            <w:r>
              <w:rPr>
                <w:noProof/>
                <w:webHidden/>
              </w:rPr>
              <w:fldChar w:fldCharType="separate"/>
            </w:r>
            <w:r>
              <w:rPr>
                <w:noProof/>
                <w:webHidden/>
              </w:rPr>
              <w:t>6</w:t>
            </w:r>
            <w:r>
              <w:rPr>
                <w:noProof/>
                <w:webHidden/>
              </w:rPr>
              <w:fldChar w:fldCharType="end"/>
            </w:r>
          </w:hyperlink>
        </w:p>
        <w:p w14:paraId="2FDED5C4" w14:textId="4900B811" w:rsidR="00400145" w:rsidRDefault="00400145">
          <w:r>
            <w:rPr>
              <w:b/>
              <w:bCs/>
            </w:rPr>
            <w:fldChar w:fldCharType="end"/>
          </w:r>
        </w:p>
      </w:sdtContent>
    </w:sdt>
    <w:p w14:paraId="702EA5A3" w14:textId="48955128" w:rsidR="00400145" w:rsidRDefault="00400145">
      <w:pPr>
        <w:rPr>
          <w:rFonts w:eastAsiaTheme="majorEastAsia" w:cstheme="majorBidi"/>
          <w:color w:val="762870"/>
          <w:sz w:val="32"/>
          <w:szCs w:val="32"/>
        </w:rPr>
      </w:pPr>
      <w:r>
        <w:br w:type="page"/>
      </w:r>
    </w:p>
    <w:p w14:paraId="07C248B6" w14:textId="2EEB5429" w:rsidR="00483F5C" w:rsidRDefault="00400145" w:rsidP="00C2432D">
      <w:pPr>
        <w:pStyle w:val="Ttol1"/>
        <w:numPr>
          <w:ilvl w:val="0"/>
          <w:numId w:val="1"/>
        </w:numPr>
        <w:spacing w:after="200"/>
        <w:ind w:left="426" w:hanging="426"/>
      </w:pPr>
      <w:bookmarkStart w:id="2" w:name="_Toc2865965"/>
      <w:r>
        <w:lastRenderedPageBreak/>
        <w:t xml:space="preserve">Aim of this </w:t>
      </w:r>
      <w:bookmarkEnd w:id="0"/>
      <w:r w:rsidR="00E14299">
        <w:t>toolkit</w:t>
      </w:r>
      <w:bookmarkEnd w:id="2"/>
    </w:p>
    <w:p w14:paraId="35A9BB04" w14:textId="3F910A60" w:rsidR="00594324" w:rsidRDefault="00E14299" w:rsidP="00E14299">
      <w:pPr>
        <w:spacing w:after="100" w:line="276" w:lineRule="auto"/>
        <w:jc w:val="both"/>
      </w:pPr>
      <w:r>
        <w:t xml:space="preserve">Article 32 of the ENI CBC </w:t>
      </w:r>
      <w:r w:rsidR="00400145">
        <w:t>Implementing Rules</w:t>
      </w:r>
      <w:r>
        <w:t xml:space="preserve"> (hereinafter ENI CBC IR) stipulates that the expenditure verification work of the expenditure and income declared by the beneficiaries has to be carried out in conformity with </w:t>
      </w:r>
      <w:r w:rsidRPr="00E14299">
        <w:t xml:space="preserve">the </w:t>
      </w:r>
      <w:r w:rsidRPr="00492197">
        <w:rPr>
          <w:b/>
        </w:rPr>
        <w:t>International Standard on Related Services 4400</w:t>
      </w:r>
      <w:r w:rsidRPr="00E14299">
        <w:t xml:space="preserve"> Engagements to perform Agreed-upon Procedures regarding Financial Information as promulgated by International Federation of Accountants (IFAC)</w:t>
      </w:r>
      <w:r>
        <w:t>. Section 10 of this standard indicates:</w:t>
      </w:r>
    </w:p>
    <w:p w14:paraId="3A47E023" w14:textId="0F0BD753" w:rsidR="00E14299" w:rsidRPr="00E14299" w:rsidRDefault="00E14299" w:rsidP="00E14299">
      <w:pPr>
        <w:spacing w:after="200" w:line="276" w:lineRule="auto"/>
        <w:ind w:left="284"/>
        <w:jc w:val="both"/>
        <w:rPr>
          <w:i/>
          <w:sz w:val="22"/>
        </w:rPr>
      </w:pPr>
      <w:r w:rsidRPr="00E14299">
        <w:rPr>
          <w:i/>
          <w:sz w:val="22"/>
        </w:rPr>
        <w:t>“</w:t>
      </w:r>
      <w:r w:rsidRPr="00492197">
        <w:rPr>
          <w:b/>
          <w:i/>
          <w:sz w:val="22"/>
        </w:rPr>
        <w:t xml:space="preserve">The auditor should document </w:t>
      </w:r>
      <w:r w:rsidRPr="00E14299">
        <w:rPr>
          <w:i/>
          <w:sz w:val="22"/>
        </w:rPr>
        <w:t xml:space="preserve">matters which are important in providing </w:t>
      </w:r>
      <w:r w:rsidRPr="00492197">
        <w:rPr>
          <w:b/>
          <w:i/>
          <w:sz w:val="22"/>
        </w:rPr>
        <w:t>evidence</w:t>
      </w:r>
      <w:r w:rsidRPr="00E14299">
        <w:rPr>
          <w:i/>
          <w:sz w:val="22"/>
        </w:rPr>
        <w:t xml:space="preserve"> to support the report of factual findings, and evidence that the engagement was carried out in accordance with this ISRS and the terms of the engagement.”</w:t>
      </w:r>
    </w:p>
    <w:p w14:paraId="4B2E25D7" w14:textId="77777777" w:rsidR="00E14299" w:rsidRDefault="00E14299" w:rsidP="00E14299">
      <w:pPr>
        <w:spacing w:after="200"/>
        <w:jc w:val="both"/>
      </w:pPr>
      <w:r>
        <w:t xml:space="preserve">Auditors have very precise international standards on how to document the evidence of their work: </w:t>
      </w:r>
      <w:r w:rsidRPr="00E14299">
        <w:rPr>
          <w:b/>
        </w:rPr>
        <w:t>the working papers!</w:t>
      </w:r>
      <w:r>
        <w:rPr>
          <w:b/>
        </w:rPr>
        <w:t xml:space="preserve"> </w:t>
      </w:r>
      <w:r>
        <w:t>This also applies to public officers carrying out the same work than auditors, as stated in the above-mentioned article 32 of ENI CBC IR.</w:t>
      </w:r>
    </w:p>
    <w:p w14:paraId="0C2CF42E" w14:textId="77777777" w:rsidR="00492197" w:rsidRDefault="00E14299" w:rsidP="00E14299">
      <w:pPr>
        <w:spacing w:after="200" w:line="276" w:lineRule="auto"/>
        <w:jc w:val="both"/>
      </w:pPr>
      <w:r>
        <w:t xml:space="preserve">This issue was tackled by the Audit Authorities in the Audit Network organised by TESIM in September 2018 in Bucharest in the session devoted to the possibility to apply the “single audit” concept </w:t>
      </w:r>
      <w:r w:rsidR="00492197">
        <w:t>in ENI CBC programmes</w:t>
      </w:r>
      <w:r>
        <w:t>.</w:t>
      </w:r>
    </w:p>
    <w:p w14:paraId="53B4C84B" w14:textId="0B4481E5" w:rsidR="002B5AA9" w:rsidRDefault="00E14299" w:rsidP="00492197">
      <w:pPr>
        <w:spacing w:after="200" w:line="276" w:lineRule="auto"/>
        <w:ind w:left="284"/>
        <w:jc w:val="both"/>
        <w:rPr>
          <w:sz w:val="22"/>
        </w:rPr>
      </w:pPr>
      <w:r w:rsidRPr="00492197">
        <w:rPr>
          <w:i/>
          <w:sz w:val="22"/>
        </w:rPr>
        <w:t xml:space="preserve"> </w:t>
      </w:r>
      <w:r w:rsidR="00492197" w:rsidRPr="00492197">
        <w:rPr>
          <w:i/>
          <w:sz w:val="22"/>
        </w:rPr>
        <w:t>“In the context of the European Union budget, the term ‘</w:t>
      </w:r>
      <w:r w:rsidR="00492197" w:rsidRPr="00492197">
        <w:rPr>
          <w:b/>
          <w:i/>
          <w:sz w:val="22"/>
        </w:rPr>
        <w:t>single audit</w:t>
      </w:r>
      <w:r w:rsidR="00492197" w:rsidRPr="00492197">
        <w:rPr>
          <w:i/>
          <w:sz w:val="22"/>
        </w:rPr>
        <w:t xml:space="preserve">’ refers to a system of internal control and audit which is based on the idea that </w:t>
      </w:r>
      <w:r w:rsidR="00492197" w:rsidRPr="00492197">
        <w:rPr>
          <w:b/>
          <w:i/>
          <w:sz w:val="22"/>
        </w:rPr>
        <w:t>each level of control builds on the preceding one</w:t>
      </w:r>
      <w:r w:rsidR="00492197" w:rsidRPr="00492197">
        <w:rPr>
          <w:i/>
          <w:sz w:val="22"/>
        </w:rPr>
        <w:t xml:space="preserve">. ’Single audit’ aims at </w:t>
      </w:r>
      <w:r w:rsidR="00492197" w:rsidRPr="00492197">
        <w:rPr>
          <w:b/>
          <w:i/>
          <w:sz w:val="22"/>
        </w:rPr>
        <w:t>preventing the duplication of control work</w:t>
      </w:r>
      <w:r w:rsidR="00492197" w:rsidRPr="00492197">
        <w:rPr>
          <w:i/>
          <w:sz w:val="22"/>
        </w:rPr>
        <w:t xml:space="preserve"> and reducing the overall cost of control and audit activities at the level of the Member States and the Commission. It also aims at </w:t>
      </w:r>
      <w:r w:rsidR="00492197" w:rsidRPr="00492197">
        <w:rPr>
          <w:b/>
          <w:i/>
          <w:sz w:val="22"/>
        </w:rPr>
        <w:t>decreasing the administrative burden on auditees</w:t>
      </w:r>
      <w:r w:rsidR="00492197" w:rsidRPr="00492197">
        <w:rPr>
          <w:i/>
          <w:sz w:val="22"/>
        </w:rPr>
        <w:t>.”</w:t>
      </w:r>
      <w:r w:rsidR="00492197" w:rsidRPr="00492197">
        <w:rPr>
          <w:sz w:val="22"/>
        </w:rPr>
        <w:t xml:space="preserve"> European Court of Auditors, December 2013</w:t>
      </w:r>
    </w:p>
    <w:p w14:paraId="5E37EB08" w14:textId="73FCAF04" w:rsidR="00492197" w:rsidRDefault="00492197" w:rsidP="00492197">
      <w:pPr>
        <w:spacing w:after="100" w:line="276" w:lineRule="auto"/>
        <w:jc w:val="both"/>
      </w:pPr>
      <w:r>
        <w:t xml:space="preserve">This toolkit developed by TESIM provides a set of standard working papers, which may/should used by the auditors with </w:t>
      </w:r>
      <w:r w:rsidRPr="00492197">
        <w:rPr>
          <w:b/>
        </w:rPr>
        <w:t>three aim</w:t>
      </w:r>
      <w:r>
        <w:t>s:</w:t>
      </w:r>
    </w:p>
    <w:p w14:paraId="3FD3222A" w14:textId="6559FFF0" w:rsidR="00492197" w:rsidRDefault="00492197" w:rsidP="00492197">
      <w:pPr>
        <w:pStyle w:val="Pargrafdellista"/>
        <w:numPr>
          <w:ilvl w:val="0"/>
          <w:numId w:val="24"/>
        </w:numPr>
        <w:spacing w:after="200" w:line="276" w:lineRule="auto"/>
        <w:jc w:val="both"/>
      </w:pPr>
      <w:r w:rsidRPr="00492197">
        <w:rPr>
          <w:b/>
        </w:rPr>
        <w:t>Facilitate the work of the auditors/public officers</w:t>
      </w:r>
      <w:r>
        <w:t xml:space="preserve"> by offering a set of standard documents,</w:t>
      </w:r>
    </w:p>
    <w:p w14:paraId="1E8C45D5" w14:textId="3DE38643" w:rsidR="00492197" w:rsidRDefault="00492197" w:rsidP="00492197">
      <w:pPr>
        <w:pStyle w:val="Pargrafdellista"/>
        <w:numPr>
          <w:ilvl w:val="0"/>
          <w:numId w:val="24"/>
        </w:numPr>
        <w:spacing w:after="200" w:line="276" w:lineRule="auto"/>
        <w:jc w:val="both"/>
      </w:pPr>
      <w:r w:rsidRPr="00492197">
        <w:rPr>
          <w:b/>
        </w:rPr>
        <w:t>Increase the reliability of expenditure verification reports</w:t>
      </w:r>
      <w:r>
        <w:t xml:space="preserve"> by providing tools for quality control by programme bodies and national authorities,</w:t>
      </w:r>
    </w:p>
    <w:p w14:paraId="543947DE" w14:textId="31A9FEB5" w:rsidR="00492197" w:rsidRDefault="00492197" w:rsidP="00492197">
      <w:pPr>
        <w:pStyle w:val="Pargrafdellista"/>
        <w:numPr>
          <w:ilvl w:val="0"/>
          <w:numId w:val="24"/>
        </w:numPr>
        <w:spacing w:after="200" w:line="276" w:lineRule="auto"/>
        <w:jc w:val="both"/>
      </w:pPr>
      <w:r w:rsidRPr="00492197">
        <w:rPr>
          <w:b/>
        </w:rPr>
        <w:t>Allow the use of the single audit approach</w:t>
      </w:r>
      <w:r>
        <w:t xml:space="preserve"> by the Audit Authorities.</w:t>
      </w:r>
    </w:p>
    <w:p w14:paraId="1F32A4E4" w14:textId="619D2E0F" w:rsidR="00492197" w:rsidRDefault="00492197" w:rsidP="00492197">
      <w:pPr>
        <w:spacing w:after="200" w:line="276" w:lineRule="auto"/>
        <w:jc w:val="both"/>
      </w:pPr>
      <w:r>
        <w:t>The standard working papers proposed by TESIM may be adapted by each programme, but also by the auditors/public officers, in conformity with their professional judgement.</w:t>
      </w:r>
    </w:p>
    <w:p w14:paraId="65FCF127" w14:textId="216749A1" w:rsidR="00492197" w:rsidRDefault="00492197" w:rsidP="00492197">
      <w:pPr>
        <w:pStyle w:val="Ttol1"/>
        <w:numPr>
          <w:ilvl w:val="0"/>
          <w:numId w:val="1"/>
        </w:numPr>
        <w:spacing w:after="200"/>
        <w:ind w:left="426" w:hanging="426"/>
      </w:pPr>
      <w:bookmarkStart w:id="3" w:name="_Toc2865966"/>
      <w:r>
        <w:lastRenderedPageBreak/>
        <w:t>Building assurance in ENI CBC programmes</w:t>
      </w:r>
      <w:bookmarkEnd w:id="3"/>
    </w:p>
    <w:p w14:paraId="032018F3" w14:textId="5B393B6B" w:rsidR="00492197" w:rsidRDefault="00176117" w:rsidP="00492197">
      <w:pPr>
        <w:spacing w:after="200" w:line="276" w:lineRule="auto"/>
        <w:jc w:val="both"/>
      </w:pPr>
      <w:r>
        <w:t xml:space="preserve">The European Court of Auditors (ECA) requires </w:t>
      </w:r>
      <w:r w:rsidRPr="00176117">
        <w:t>to ensure increased reliability of the information on legality and regularity</w:t>
      </w:r>
      <w:r>
        <w:t xml:space="preserve"> at the reports from the programmes to the European Commission. How?</w:t>
      </w:r>
    </w:p>
    <w:tbl>
      <w:tblPr>
        <w:tblStyle w:val="Taulaambquadrcula"/>
        <w:tblW w:w="0" w:type="auto"/>
        <w:tblLook w:val="04A0" w:firstRow="1" w:lastRow="0" w:firstColumn="1" w:lastColumn="0" w:noHBand="0" w:noVBand="1"/>
      </w:tblPr>
      <w:tblGrid>
        <w:gridCol w:w="9010"/>
      </w:tblGrid>
      <w:tr w:rsidR="00176117" w14:paraId="55C23276" w14:textId="77777777" w:rsidTr="00176117">
        <w:tc>
          <w:tcPr>
            <w:tcW w:w="9010" w:type="dxa"/>
            <w:shd w:val="clear" w:color="auto" w:fill="E2EFD9" w:themeFill="accent6" w:themeFillTint="33"/>
          </w:tcPr>
          <w:p w14:paraId="677A314D" w14:textId="01CD07F8" w:rsidR="00176117" w:rsidRDefault="00176117" w:rsidP="00176117">
            <w:pPr>
              <w:spacing w:before="100" w:after="100" w:line="276" w:lineRule="auto"/>
              <w:jc w:val="both"/>
            </w:pPr>
            <w:r w:rsidRPr="00176117">
              <w:t>Focus on the strengthening of the management and control systems and the building of an “assurance package” by the programmes</w:t>
            </w:r>
            <w:r>
              <w:t>. (Background paper on “</w:t>
            </w:r>
            <w:r w:rsidRPr="00176117">
              <w:rPr>
                <w:i/>
              </w:rPr>
              <w:t>ECA’s modified approach to the Statement of Assurance audit in Cohesion</w:t>
            </w:r>
            <w:r>
              <w:t>”. December 2017)</w:t>
            </w:r>
          </w:p>
        </w:tc>
      </w:tr>
    </w:tbl>
    <w:p w14:paraId="0870D768" w14:textId="77777777" w:rsidR="00176117" w:rsidRDefault="00176117" w:rsidP="00176117">
      <w:pPr>
        <w:spacing w:before="200" w:after="200" w:line="276" w:lineRule="auto"/>
        <w:jc w:val="both"/>
      </w:pPr>
      <w:r>
        <w:t xml:space="preserve">Even if the assurance to EC is given by the Audit Authorities, the effort to strengthen the management and control systems lies on the Managing Authorities and needs the support of good controls at project level. </w:t>
      </w:r>
    </w:p>
    <w:p w14:paraId="1F61713E" w14:textId="3561EA93" w:rsidR="00176117" w:rsidRDefault="00176117" w:rsidP="00176117">
      <w:pPr>
        <w:spacing w:before="200" w:after="200" w:line="276" w:lineRule="auto"/>
        <w:jc w:val="both"/>
      </w:pPr>
      <w:r>
        <w:t xml:space="preserve">The </w:t>
      </w:r>
      <w:r w:rsidRPr="00176117">
        <w:rPr>
          <w:b/>
        </w:rPr>
        <w:t>construction of the assurance</w:t>
      </w:r>
      <w:r>
        <w:t xml:space="preserve"> may be summarized as follows:</w:t>
      </w:r>
    </w:p>
    <w:p w14:paraId="20F70EAD" w14:textId="6C0467A0" w:rsidR="00176117" w:rsidRDefault="00176117" w:rsidP="00176117">
      <w:pPr>
        <w:spacing w:before="200" w:after="200" w:line="276" w:lineRule="auto"/>
        <w:jc w:val="both"/>
      </w:pPr>
      <w:r>
        <w:rPr>
          <w:noProof/>
        </w:rPr>
        <w:drawing>
          <wp:inline distT="0" distB="0" distL="0" distR="0" wp14:anchorId="641156EF" wp14:editId="136CEC67">
            <wp:extent cx="5727700" cy="2697480"/>
            <wp:effectExtent l="0" t="0" r="6350" b="762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2697480"/>
                    </a:xfrm>
                    <a:prstGeom prst="rect">
                      <a:avLst/>
                    </a:prstGeom>
                  </pic:spPr>
                </pic:pic>
              </a:graphicData>
            </a:graphic>
          </wp:inline>
        </w:drawing>
      </w:r>
    </w:p>
    <w:p w14:paraId="000863D5" w14:textId="45B4CBD5" w:rsidR="00176117" w:rsidRDefault="00176117" w:rsidP="00176117">
      <w:pPr>
        <w:spacing w:before="200" w:after="200" w:line="276" w:lineRule="auto"/>
        <w:jc w:val="center"/>
      </w:pPr>
      <w:r>
        <w:rPr>
          <w:noProof/>
        </w:rPr>
        <w:drawing>
          <wp:inline distT="0" distB="0" distL="0" distR="0" wp14:anchorId="27197028" wp14:editId="15F1A052">
            <wp:extent cx="4838700" cy="1852332"/>
            <wp:effectExtent l="0" t="0" r="0" b="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8846" cy="1856216"/>
                    </a:xfrm>
                    <a:prstGeom prst="rect">
                      <a:avLst/>
                    </a:prstGeom>
                  </pic:spPr>
                </pic:pic>
              </a:graphicData>
            </a:graphic>
          </wp:inline>
        </w:drawing>
      </w:r>
    </w:p>
    <w:p w14:paraId="43FC92AE" w14:textId="78A3A49C" w:rsidR="003D545A" w:rsidRDefault="003D545A" w:rsidP="003D545A">
      <w:pPr>
        <w:spacing w:before="200" w:after="200" w:line="276" w:lineRule="auto"/>
      </w:pPr>
      <w:r>
        <w:lastRenderedPageBreak/>
        <w:t>The key questions may be:</w:t>
      </w:r>
    </w:p>
    <w:p w14:paraId="57BF3C4B" w14:textId="77777777" w:rsidR="003D545A" w:rsidRPr="00492197" w:rsidRDefault="003D545A" w:rsidP="003D545A">
      <w:pPr>
        <w:pStyle w:val="Pargrafdellista"/>
        <w:numPr>
          <w:ilvl w:val="0"/>
          <w:numId w:val="25"/>
        </w:numPr>
        <w:spacing w:before="200" w:after="200" w:line="276" w:lineRule="auto"/>
      </w:pPr>
      <w:r>
        <w:t>May MA rely on the work of the auditors and public officers carrying out the expenditure verification reports?</w:t>
      </w:r>
    </w:p>
    <w:p w14:paraId="38EEFE64" w14:textId="3FDA0CD6" w:rsidR="003D545A" w:rsidRDefault="003D545A" w:rsidP="003D545A">
      <w:pPr>
        <w:pStyle w:val="Pargrafdellista"/>
        <w:numPr>
          <w:ilvl w:val="0"/>
          <w:numId w:val="25"/>
        </w:numPr>
        <w:spacing w:before="200" w:after="200" w:line="276" w:lineRule="auto"/>
      </w:pPr>
      <w:r w:rsidRPr="003D545A">
        <w:t xml:space="preserve">Is it possible to obtain the evidence </w:t>
      </w:r>
      <w:r>
        <w:t xml:space="preserve">of the reliability of their reports </w:t>
      </w:r>
      <w:r w:rsidRPr="003D545A">
        <w:t>with less re-performance</w:t>
      </w:r>
      <w:r>
        <w:t>? Is there an alternative to reperform their work to check if the result is the same?</w:t>
      </w:r>
    </w:p>
    <w:p w14:paraId="2B2B42B6" w14:textId="63119130" w:rsidR="003D545A" w:rsidRDefault="003D545A" w:rsidP="003D545A">
      <w:pPr>
        <w:spacing w:before="200" w:after="200" w:line="276" w:lineRule="auto"/>
      </w:pPr>
      <w:r>
        <w:t>The answer for the Audit Authorities is in the International Standard for Audit (ISA) #600:</w:t>
      </w:r>
    </w:p>
    <w:p w14:paraId="720BA659" w14:textId="1E9F51F3" w:rsidR="003D545A" w:rsidRPr="003D545A" w:rsidRDefault="003D545A" w:rsidP="003D545A">
      <w:pPr>
        <w:spacing w:before="200" w:after="200" w:line="276" w:lineRule="auto"/>
        <w:ind w:left="284"/>
        <w:jc w:val="both"/>
        <w:rPr>
          <w:sz w:val="22"/>
        </w:rPr>
      </w:pPr>
      <w:r w:rsidRPr="003D545A">
        <w:rPr>
          <w:sz w:val="22"/>
        </w:rPr>
        <w:t>“</w:t>
      </w:r>
      <w:r w:rsidRPr="003D545A">
        <w:rPr>
          <w:i/>
          <w:sz w:val="22"/>
        </w:rPr>
        <w:t xml:space="preserve">The principal auditor should perform procedures to obtain sufficient appropriate audit evidence, that the </w:t>
      </w:r>
      <w:r w:rsidRPr="003D545A">
        <w:rPr>
          <w:b/>
          <w:i/>
          <w:sz w:val="22"/>
        </w:rPr>
        <w:t>work of the other auditor is adequate</w:t>
      </w:r>
      <w:r w:rsidRPr="003D545A">
        <w:rPr>
          <w:i/>
          <w:sz w:val="22"/>
        </w:rPr>
        <w:t xml:space="preserve"> for the principal auditor’s purposes, in the context of the specific assignment.</w:t>
      </w:r>
      <w:r w:rsidRPr="003D545A">
        <w:rPr>
          <w:sz w:val="22"/>
        </w:rPr>
        <w:t>” (ISA 600)</w:t>
      </w:r>
    </w:p>
    <w:p w14:paraId="6564611D" w14:textId="59DB4532" w:rsidR="003D545A" w:rsidRDefault="003D545A">
      <w:r>
        <w:br w:type="page"/>
      </w:r>
    </w:p>
    <w:p w14:paraId="4BFA8673" w14:textId="0D391088" w:rsidR="003D545A" w:rsidRDefault="003D545A" w:rsidP="003D545A">
      <w:pPr>
        <w:pStyle w:val="Ttol1"/>
        <w:numPr>
          <w:ilvl w:val="0"/>
          <w:numId w:val="1"/>
        </w:numPr>
        <w:ind w:left="426" w:hanging="426"/>
      </w:pPr>
      <w:bookmarkStart w:id="4" w:name="_Toc2865967"/>
      <w:r>
        <w:lastRenderedPageBreak/>
        <w:t>Checking the work of auditors: the working papers</w:t>
      </w:r>
      <w:bookmarkEnd w:id="4"/>
    </w:p>
    <w:p w14:paraId="7DE5BDAD" w14:textId="2677C4C4" w:rsidR="003D545A" w:rsidRDefault="003D545A" w:rsidP="003D545A">
      <w:pPr>
        <w:spacing w:before="200" w:after="200" w:line="276" w:lineRule="auto"/>
        <w:jc w:val="both"/>
      </w:pPr>
      <w:r>
        <w:t>The audit profession has a standard way of working and checking the adequacy of this work, which is the revision of the working papers. This is the usual procedure inside the auditing companies, where the person who signs the reports relies on the work of the team after this revision. It is also the usual procedure when another company or institution is checking the quality of the audit work.</w:t>
      </w:r>
    </w:p>
    <w:p w14:paraId="5BC45118" w14:textId="716CC60E" w:rsidR="003D545A" w:rsidRDefault="003D545A" w:rsidP="003D545A">
      <w:pPr>
        <w:spacing w:before="200" w:after="200" w:line="276" w:lineRule="auto"/>
        <w:jc w:val="both"/>
      </w:pPr>
      <w:r>
        <w:rPr>
          <w:noProof/>
        </w:rPr>
        <w:drawing>
          <wp:inline distT="0" distB="0" distL="0" distR="0" wp14:anchorId="74F6FB99" wp14:editId="5DB2F7A7">
            <wp:extent cx="5727700" cy="805180"/>
            <wp:effectExtent l="0" t="0" r="6350" b="0"/>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805180"/>
                    </a:xfrm>
                    <a:prstGeom prst="rect">
                      <a:avLst/>
                    </a:prstGeom>
                  </pic:spPr>
                </pic:pic>
              </a:graphicData>
            </a:graphic>
          </wp:inline>
        </w:drawing>
      </w:r>
    </w:p>
    <w:p w14:paraId="4D2C004B" w14:textId="0E833255" w:rsidR="003D545A" w:rsidRDefault="00EB35A9" w:rsidP="003D545A">
      <w:pPr>
        <w:spacing w:before="200" w:after="200" w:line="276" w:lineRule="auto"/>
        <w:jc w:val="both"/>
      </w:pPr>
      <w:r>
        <w:t>The scope and the report are defined by each programme in the terms of reference for expenditure verification. It is up to each auditor/public officer to develop its own work programme and working papers. However, having recommended work programme and standardized working papers will make it easier to verify the quality and reliability of the reports.</w:t>
      </w:r>
    </w:p>
    <w:tbl>
      <w:tblPr>
        <w:tblStyle w:val="Taulaambquadrcula"/>
        <w:tblW w:w="0" w:type="auto"/>
        <w:tblLook w:val="04A0" w:firstRow="1" w:lastRow="0" w:firstColumn="1" w:lastColumn="0" w:noHBand="0" w:noVBand="1"/>
      </w:tblPr>
      <w:tblGrid>
        <w:gridCol w:w="9010"/>
      </w:tblGrid>
      <w:tr w:rsidR="00EB35A9" w14:paraId="667A886C" w14:textId="77777777" w:rsidTr="00EB35A9">
        <w:tc>
          <w:tcPr>
            <w:tcW w:w="9010" w:type="dxa"/>
            <w:shd w:val="clear" w:color="auto" w:fill="E2EFD9" w:themeFill="accent6" w:themeFillTint="33"/>
          </w:tcPr>
          <w:p w14:paraId="549B578C" w14:textId="4A840A7B" w:rsidR="00EB35A9" w:rsidRDefault="00EB35A9" w:rsidP="003D545A">
            <w:pPr>
              <w:spacing w:before="200" w:after="200" w:line="276" w:lineRule="auto"/>
              <w:jc w:val="both"/>
            </w:pPr>
            <w:r w:rsidRPr="00EB35A9">
              <w:rPr>
                <w:b/>
              </w:rPr>
              <w:t>Our goal</w:t>
            </w:r>
            <w:r>
              <w:t xml:space="preserve"> is to build the controls by Managing Authority on the first level of control, carried out during expenditure verification, rather than re-performing. </w:t>
            </w:r>
            <w:proofErr w:type="gramStart"/>
            <w:r>
              <w:t>Also</w:t>
            </w:r>
            <w:proofErr w:type="gramEnd"/>
            <w:r>
              <w:t xml:space="preserve"> the checks by Audit Authority on projects may be built on the work of this first level. </w:t>
            </w:r>
          </w:p>
        </w:tc>
      </w:tr>
    </w:tbl>
    <w:p w14:paraId="00136FB1" w14:textId="111EDAF1" w:rsidR="00EB35A9" w:rsidRDefault="00EB35A9" w:rsidP="003D545A">
      <w:pPr>
        <w:spacing w:before="200" w:after="200" w:line="276" w:lineRule="auto"/>
        <w:jc w:val="both"/>
      </w:pPr>
      <w:r>
        <w:t xml:space="preserve">For that purpose, TESIM has develop a set of standard working papers, which may be used by the auditors/public officers, as a complement to the terms of reference. </w:t>
      </w:r>
    </w:p>
    <w:p w14:paraId="67C214DB" w14:textId="12049991" w:rsidR="00155392" w:rsidRDefault="00155392" w:rsidP="003D545A">
      <w:pPr>
        <w:spacing w:before="200" w:after="200" w:line="276" w:lineRule="auto"/>
        <w:jc w:val="both"/>
      </w:pPr>
      <w:r>
        <w:t>However, in order to render this approach</w:t>
      </w:r>
      <w:r w:rsidR="00451CF5">
        <w:t xml:space="preserve"> feasible from a legal point of view, it is recommended that the </w:t>
      </w:r>
      <w:r w:rsidR="00451CF5" w:rsidRPr="00530D4D">
        <w:rPr>
          <w:b/>
        </w:rPr>
        <w:t>contracts between auditor and beneficiary</w:t>
      </w:r>
      <w:r w:rsidR="00451CF5">
        <w:t xml:space="preserve"> include the possibility of revision of the working papers by the programme’s and EC’s competent bodies. This clause has been included in the contract template included in TESIM’s </w:t>
      </w:r>
      <w:r w:rsidR="007A13D9">
        <w:t>“</w:t>
      </w:r>
      <w:r w:rsidR="00451CF5">
        <w:t>Expenditure verification pack</w:t>
      </w:r>
      <w:r w:rsidR="007A13D9">
        <w:t>”</w:t>
      </w:r>
      <w:r w:rsidR="00451CF5">
        <w:t>.</w:t>
      </w:r>
    </w:p>
    <w:p w14:paraId="55840732" w14:textId="3661599B" w:rsidR="007A13D9" w:rsidRDefault="007A13D9" w:rsidP="003D545A">
      <w:pPr>
        <w:spacing w:before="200" w:after="200" w:line="276" w:lineRule="auto"/>
        <w:jc w:val="both"/>
      </w:pPr>
      <w:r>
        <w:t xml:space="preserve">The </w:t>
      </w:r>
      <w:r w:rsidRPr="00826D76">
        <w:rPr>
          <w:b/>
        </w:rPr>
        <w:t>toolkit for auditors</w:t>
      </w:r>
      <w:r>
        <w:t xml:space="preserve"> includes tips and tools, as well as a set of non-exhaustive templates for working papers, which may be used. </w:t>
      </w:r>
    </w:p>
    <w:p w14:paraId="04773B93" w14:textId="6D351E0E" w:rsidR="00EB35A9" w:rsidRDefault="00EB35A9" w:rsidP="003D545A">
      <w:pPr>
        <w:spacing w:before="200" w:after="200" w:line="276" w:lineRule="auto"/>
        <w:jc w:val="both"/>
      </w:pPr>
    </w:p>
    <w:p w14:paraId="29CEFAD0" w14:textId="77777777" w:rsidR="00EB35A9" w:rsidRDefault="00EB35A9" w:rsidP="003D545A">
      <w:pPr>
        <w:spacing w:before="200" w:after="200" w:line="276" w:lineRule="auto"/>
        <w:jc w:val="both"/>
      </w:pPr>
    </w:p>
    <w:sectPr w:rsidR="00EB35A9" w:rsidSect="00377019">
      <w:headerReference w:type="default" r:id="rId15"/>
      <w:footerReference w:type="even" r:id="rId16"/>
      <w:footerReference w:type="default" r:id="rId17"/>
      <w:pgSz w:w="11900" w:h="16840"/>
      <w:pgMar w:top="2268" w:right="1440" w:bottom="1440" w:left="1440"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6D35B" w14:textId="77777777" w:rsidR="00C24369" w:rsidRDefault="00C24369" w:rsidP="002D5A83">
      <w:r>
        <w:separator/>
      </w:r>
    </w:p>
  </w:endnote>
  <w:endnote w:type="continuationSeparator" w:id="0">
    <w:p w14:paraId="3EE94CD8" w14:textId="77777777" w:rsidR="00C24369" w:rsidRDefault="00C24369"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19D2" w14:textId="77777777" w:rsidR="00C24369" w:rsidRDefault="00C24369" w:rsidP="00835C97">
    <w:pPr>
      <w:pStyle w:val="Peu"/>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B861BD" w14:textId="77777777" w:rsidR="00C24369" w:rsidRDefault="00C24369" w:rsidP="002D5A83">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ulaambquadrcula"/>
      <w:tblpPr w:leftFromText="180" w:rightFromText="180" w:vertAnchor="text" w:horzAnchor="page" w:tblpX="-33" w:tblpY="-405"/>
      <w:tblW w:w="1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7"/>
      <w:gridCol w:w="4047"/>
      <w:gridCol w:w="4048"/>
      <w:gridCol w:w="3103"/>
    </w:tblGrid>
    <w:tr w:rsidR="00C24369" w14:paraId="51D83C5F" w14:textId="77777777" w:rsidTr="00963FAC">
      <w:trPr>
        <w:trHeight w:val="416"/>
      </w:trPr>
      <w:tc>
        <w:tcPr>
          <w:tcW w:w="4047" w:type="dxa"/>
          <w:shd w:val="clear" w:color="auto" w:fill="5E175F"/>
          <w:vAlign w:val="center"/>
        </w:tcPr>
        <w:p w14:paraId="4ED26D35" w14:textId="6B6AF2BA" w:rsidR="00C24369" w:rsidRPr="0011662B" w:rsidRDefault="00C24369" w:rsidP="00963FAC">
          <w:pPr>
            <w:pStyle w:val="Peu"/>
            <w:ind w:right="360"/>
            <w:jc w:val="center"/>
            <w:rPr>
              <w:sz w:val="16"/>
              <w:szCs w:val="16"/>
            </w:rPr>
          </w:pPr>
          <w:r w:rsidRPr="0011662B">
            <w:rPr>
              <w:sz w:val="16"/>
              <w:szCs w:val="16"/>
            </w:rPr>
            <w:t>Implemented by a consortium led by</w:t>
          </w:r>
        </w:p>
      </w:tc>
      <w:tc>
        <w:tcPr>
          <w:tcW w:w="4047" w:type="dxa"/>
          <w:shd w:val="clear" w:color="auto" w:fill="5E175F"/>
          <w:vAlign w:val="center"/>
        </w:tcPr>
        <w:p w14:paraId="79B46510" w14:textId="26AB4D4F" w:rsidR="00C24369" w:rsidRPr="00963FAC" w:rsidRDefault="00C24369" w:rsidP="00963FAC">
          <w:pPr>
            <w:pStyle w:val="Peu"/>
            <w:ind w:right="360"/>
            <w:jc w:val="center"/>
            <w:rPr>
              <w:sz w:val="16"/>
              <w:szCs w:val="16"/>
            </w:rPr>
          </w:pPr>
          <w:r w:rsidRPr="00D732E3">
            <w:rPr>
              <w:sz w:val="16"/>
              <w:szCs w:val="16"/>
            </w:rPr>
            <w:fldChar w:fldCharType="begin"/>
          </w:r>
          <w:r w:rsidRPr="00D732E3">
            <w:rPr>
              <w:sz w:val="16"/>
              <w:szCs w:val="16"/>
            </w:rPr>
            <w:instrText>PAGE   \* MERGEFORMAT</w:instrText>
          </w:r>
          <w:r w:rsidRPr="00D732E3">
            <w:rPr>
              <w:sz w:val="16"/>
              <w:szCs w:val="16"/>
            </w:rPr>
            <w:fldChar w:fldCharType="separate"/>
          </w:r>
          <w:r w:rsidRPr="001C49EA">
            <w:rPr>
              <w:noProof/>
              <w:sz w:val="16"/>
              <w:szCs w:val="16"/>
              <w:lang w:val="ca-ES"/>
            </w:rPr>
            <w:t>10</w:t>
          </w:r>
          <w:r w:rsidRPr="00D732E3">
            <w:rPr>
              <w:sz w:val="16"/>
              <w:szCs w:val="16"/>
            </w:rPr>
            <w:fldChar w:fldCharType="end"/>
          </w:r>
        </w:p>
      </w:tc>
      <w:tc>
        <w:tcPr>
          <w:tcW w:w="4048" w:type="dxa"/>
          <w:shd w:val="clear" w:color="auto" w:fill="5E175F"/>
          <w:vAlign w:val="center"/>
        </w:tcPr>
        <w:p w14:paraId="794BA6BD" w14:textId="52A05AFB" w:rsidR="00C24369" w:rsidRPr="0011662B" w:rsidRDefault="00C24369" w:rsidP="00963FAC">
          <w:pPr>
            <w:pStyle w:val="Peu"/>
            <w:ind w:right="360"/>
            <w:jc w:val="center"/>
            <w:rPr>
              <w:sz w:val="16"/>
              <w:szCs w:val="16"/>
            </w:rPr>
          </w:pPr>
          <w:r w:rsidRPr="0011662B">
            <w:rPr>
              <w:sz w:val="16"/>
              <w:szCs w:val="16"/>
            </w:rPr>
            <w:t>A project funded by the European Union</w:t>
          </w:r>
        </w:p>
      </w:tc>
      <w:tc>
        <w:tcPr>
          <w:tcW w:w="3103" w:type="dxa"/>
          <w:shd w:val="clear" w:color="auto" w:fill="5E175F"/>
          <w:vAlign w:val="center"/>
        </w:tcPr>
        <w:p w14:paraId="18961CB6" w14:textId="6DB2A408" w:rsidR="00C24369" w:rsidRPr="0011662B" w:rsidRDefault="00C24369" w:rsidP="00963FAC">
          <w:pPr>
            <w:pStyle w:val="Peu"/>
            <w:ind w:right="360"/>
            <w:jc w:val="center"/>
            <w:rPr>
              <w:sz w:val="16"/>
              <w:szCs w:val="16"/>
            </w:rPr>
          </w:pPr>
        </w:p>
      </w:tc>
    </w:tr>
    <w:tr w:rsidR="00C24369" w14:paraId="06EDC7D7" w14:textId="77777777" w:rsidTr="00963FAC">
      <w:trPr>
        <w:trHeight w:val="914"/>
      </w:trPr>
      <w:tc>
        <w:tcPr>
          <w:tcW w:w="4047" w:type="dxa"/>
          <w:vAlign w:val="center"/>
        </w:tcPr>
        <w:p w14:paraId="6F90E293" w14:textId="6B18402B" w:rsidR="00C24369" w:rsidRDefault="00C24369" w:rsidP="00963FAC">
          <w:pPr>
            <w:pStyle w:val="Peu"/>
            <w:ind w:right="360"/>
            <w:jc w:val="center"/>
          </w:pPr>
          <w:r>
            <w:rPr>
              <w:noProof/>
              <w:szCs w:val="20"/>
              <w:lang w:val="en-GB" w:eastAsia="en-GB"/>
            </w:rPr>
            <w:drawing>
              <wp:inline distT="0" distB="0" distL="0" distR="0" wp14:anchorId="1C62B340" wp14:editId="60533BAC">
                <wp:extent cx="734558" cy="406274"/>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734558" cy="406274"/>
                        </a:xfrm>
                        <a:prstGeom prst="rect">
                          <a:avLst/>
                        </a:prstGeom>
                      </pic:spPr>
                    </pic:pic>
                  </a:graphicData>
                </a:graphic>
              </wp:inline>
            </w:drawing>
          </w:r>
        </w:p>
      </w:tc>
      <w:tc>
        <w:tcPr>
          <w:tcW w:w="4047" w:type="dxa"/>
          <w:vAlign w:val="center"/>
        </w:tcPr>
        <w:p w14:paraId="245107FB" w14:textId="224FB2DD" w:rsidR="00C24369" w:rsidRDefault="00C24369" w:rsidP="00963FAC">
          <w:pPr>
            <w:pStyle w:val="Peu"/>
            <w:ind w:right="360"/>
            <w:jc w:val="center"/>
          </w:pPr>
        </w:p>
      </w:tc>
      <w:tc>
        <w:tcPr>
          <w:tcW w:w="4048" w:type="dxa"/>
          <w:vAlign w:val="center"/>
        </w:tcPr>
        <w:p w14:paraId="0767BD0B" w14:textId="6CCF4199" w:rsidR="00C24369" w:rsidRDefault="00C24369" w:rsidP="00963FAC">
          <w:pPr>
            <w:pStyle w:val="Peu"/>
            <w:ind w:right="360"/>
            <w:jc w:val="center"/>
          </w:pPr>
          <w:r>
            <w:rPr>
              <w:noProof/>
              <w:lang w:val="en-GB" w:eastAsia="en-GB"/>
            </w:rPr>
            <w:drawing>
              <wp:inline distT="0" distB="0" distL="0" distR="0" wp14:anchorId="6614726E" wp14:editId="3976DCDF">
                <wp:extent cx="564456" cy="377222"/>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ag_yellow_low.jpg"/>
                        <pic:cNvPicPr/>
                      </pic:nvPicPr>
                      <pic:blipFill>
                        <a:blip r:embed="rId2">
                          <a:extLst>
                            <a:ext uri="{28A0092B-C50C-407E-A947-70E740481C1C}">
                              <a14:useLocalDpi xmlns:a14="http://schemas.microsoft.com/office/drawing/2010/main" val="0"/>
                            </a:ext>
                          </a:extLst>
                        </a:blip>
                        <a:stretch>
                          <a:fillRect/>
                        </a:stretch>
                      </pic:blipFill>
                      <pic:spPr>
                        <a:xfrm>
                          <a:off x="0" y="0"/>
                          <a:ext cx="564456" cy="377222"/>
                        </a:xfrm>
                        <a:prstGeom prst="rect">
                          <a:avLst/>
                        </a:prstGeom>
                      </pic:spPr>
                    </pic:pic>
                  </a:graphicData>
                </a:graphic>
              </wp:inline>
            </w:drawing>
          </w:r>
        </w:p>
      </w:tc>
      <w:tc>
        <w:tcPr>
          <w:tcW w:w="3103" w:type="dxa"/>
          <w:vAlign w:val="center"/>
        </w:tcPr>
        <w:p w14:paraId="53ABF549" w14:textId="664886C9" w:rsidR="00C24369" w:rsidRDefault="00C24369" w:rsidP="00963FAC">
          <w:pPr>
            <w:pStyle w:val="Peu"/>
            <w:ind w:right="360"/>
            <w:jc w:val="center"/>
          </w:pPr>
        </w:p>
      </w:tc>
    </w:tr>
  </w:tbl>
  <w:p w14:paraId="631578A5" w14:textId="0DCF45C3" w:rsidR="00C24369" w:rsidRPr="00952C48" w:rsidRDefault="00C24369" w:rsidP="00FC0764">
    <w:pPr>
      <w:pStyle w:val="Peu"/>
      <w:ind w:right="360"/>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B82C9" w14:textId="77777777" w:rsidR="00C24369" w:rsidRDefault="00C24369" w:rsidP="002D5A83">
      <w:r>
        <w:separator/>
      </w:r>
    </w:p>
  </w:footnote>
  <w:footnote w:type="continuationSeparator" w:id="0">
    <w:p w14:paraId="1FC7B662" w14:textId="77777777" w:rsidR="00C24369" w:rsidRDefault="00C24369" w:rsidP="002D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93B8" w14:textId="7A3F0DBE" w:rsidR="00C24369" w:rsidRDefault="00C24369" w:rsidP="000275CB">
    <w:pPr>
      <w:pStyle w:val="Capalera"/>
    </w:pPr>
    <w:r>
      <w:tab/>
    </w:r>
    <w:r>
      <w:tab/>
    </w:r>
    <w:r>
      <w:rPr>
        <w:noProof/>
        <w:lang w:val="en-GB" w:eastAsia="en-GB"/>
      </w:rPr>
      <w:drawing>
        <wp:inline distT="0" distB="0" distL="0" distR="0" wp14:anchorId="4FD27151" wp14:editId="62929B28">
          <wp:extent cx="2109216" cy="716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sim logo 4 color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09216" cy="7162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68F7"/>
    <w:multiLevelType w:val="hybridMultilevel"/>
    <w:tmpl w:val="4AC26C7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7B25B80"/>
    <w:multiLevelType w:val="hybridMultilevel"/>
    <w:tmpl w:val="EB82A2E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0B5160DA"/>
    <w:multiLevelType w:val="hybridMultilevel"/>
    <w:tmpl w:val="AE5A260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014120A"/>
    <w:multiLevelType w:val="hybridMultilevel"/>
    <w:tmpl w:val="97C0299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16D05AB0"/>
    <w:multiLevelType w:val="hybridMultilevel"/>
    <w:tmpl w:val="B4722A8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18E70E89"/>
    <w:multiLevelType w:val="hybridMultilevel"/>
    <w:tmpl w:val="7F2427B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19B449AE"/>
    <w:multiLevelType w:val="hybridMultilevel"/>
    <w:tmpl w:val="B95C8016"/>
    <w:lvl w:ilvl="0" w:tplc="49245F80">
      <w:start w:val="2"/>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1C077130"/>
    <w:multiLevelType w:val="hybridMultilevel"/>
    <w:tmpl w:val="F91662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1F6F1F10"/>
    <w:multiLevelType w:val="multilevel"/>
    <w:tmpl w:val="B330AD9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1D22573"/>
    <w:multiLevelType w:val="hybridMultilevel"/>
    <w:tmpl w:val="BE647E1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26135DB6"/>
    <w:multiLevelType w:val="multilevel"/>
    <w:tmpl w:val="1EDA08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6BB7D56"/>
    <w:multiLevelType w:val="hybridMultilevel"/>
    <w:tmpl w:val="2D7094F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28591BF2"/>
    <w:multiLevelType w:val="hybridMultilevel"/>
    <w:tmpl w:val="ABCC30D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DEB3C63"/>
    <w:multiLevelType w:val="hybridMultilevel"/>
    <w:tmpl w:val="CBC01CC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38735B17"/>
    <w:multiLevelType w:val="hybridMultilevel"/>
    <w:tmpl w:val="82A0A97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3E186413"/>
    <w:multiLevelType w:val="hybridMultilevel"/>
    <w:tmpl w:val="FD48529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3FFB42EA"/>
    <w:multiLevelType w:val="hybridMultilevel"/>
    <w:tmpl w:val="46662E5E"/>
    <w:lvl w:ilvl="0" w:tplc="0403000F">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43A13C4F"/>
    <w:multiLevelType w:val="hybridMultilevel"/>
    <w:tmpl w:val="EC5C38A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49B43A89"/>
    <w:multiLevelType w:val="hybridMultilevel"/>
    <w:tmpl w:val="9F2E3FB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4A7241C8"/>
    <w:multiLevelType w:val="hybridMultilevel"/>
    <w:tmpl w:val="BC3CE69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569D05CF"/>
    <w:multiLevelType w:val="hybridMultilevel"/>
    <w:tmpl w:val="11B4820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645F6BD6"/>
    <w:multiLevelType w:val="hybridMultilevel"/>
    <w:tmpl w:val="88E8C51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66D379E3"/>
    <w:multiLevelType w:val="hybridMultilevel"/>
    <w:tmpl w:val="13B8B6A8"/>
    <w:lvl w:ilvl="0" w:tplc="E664311A">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6BAB43CA"/>
    <w:multiLevelType w:val="multilevel"/>
    <w:tmpl w:val="B330AD9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7E973C07"/>
    <w:multiLevelType w:val="hybridMultilevel"/>
    <w:tmpl w:val="463E3C8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6"/>
  </w:num>
  <w:num w:numId="4">
    <w:abstractNumId w:val="22"/>
  </w:num>
  <w:num w:numId="5">
    <w:abstractNumId w:val="6"/>
  </w:num>
  <w:num w:numId="6">
    <w:abstractNumId w:val="12"/>
  </w:num>
  <w:num w:numId="7">
    <w:abstractNumId w:val="23"/>
  </w:num>
  <w:num w:numId="8">
    <w:abstractNumId w:val="8"/>
  </w:num>
  <w:num w:numId="9">
    <w:abstractNumId w:val="2"/>
  </w:num>
  <w:num w:numId="10">
    <w:abstractNumId w:val="1"/>
  </w:num>
  <w:num w:numId="11">
    <w:abstractNumId w:val="4"/>
  </w:num>
  <w:num w:numId="12">
    <w:abstractNumId w:val="20"/>
  </w:num>
  <w:num w:numId="13">
    <w:abstractNumId w:val="15"/>
  </w:num>
  <w:num w:numId="14">
    <w:abstractNumId w:val="0"/>
  </w:num>
  <w:num w:numId="15">
    <w:abstractNumId w:val="21"/>
  </w:num>
  <w:num w:numId="16">
    <w:abstractNumId w:val="13"/>
  </w:num>
  <w:num w:numId="17">
    <w:abstractNumId w:val="3"/>
  </w:num>
  <w:num w:numId="18">
    <w:abstractNumId w:val="7"/>
  </w:num>
  <w:num w:numId="19">
    <w:abstractNumId w:val="18"/>
  </w:num>
  <w:num w:numId="20">
    <w:abstractNumId w:val="24"/>
  </w:num>
  <w:num w:numId="21">
    <w:abstractNumId w:val="5"/>
  </w:num>
  <w:num w:numId="22">
    <w:abstractNumId w:val="11"/>
  </w:num>
  <w:num w:numId="23">
    <w:abstractNumId w:val="19"/>
  </w:num>
  <w:num w:numId="24">
    <w:abstractNumId w:val="9"/>
  </w:num>
  <w:num w:numId="2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A83"/>
    <w:rsid w:val="00000167"/>
    <w:rsid w:val="000036BA"/>
    <w:rsid w:val="00006970"/>
    <w:rsid w:val="000162FF"/>
    <w:rsid w:val="00020800"/>
    <w:rsid w:val="000275CB"/>
    <w:rsid w:val="00053E43"/>
    <w:rsid w:val="00067F0C"/>
    <w:rsid w:val="00067F31"/>
    <w:rsid w:val="00087649"/>
    <w:rsid w:val="00091D59"/>
    <w:rsid w:val="00094EB2"/>
    <w:rsid w:val="0009589C"/>
    <w:rsid w:val="00097822"/>
    <w:rsid w:val="000A22E2"/>
    <w:rsid w:val="000B32AA"/>
    <w:rsid w:val="000B5E41"/>
    <w:rsid w:val="000C466E"/>
    <w:rsid w:val="000C7939"/>
    <w:rsid w:val="000D2304"/>
    <w:rsid w:val="000D42CE"/>
    <w:rsid w:val="000E7C36"/>
    <w:rsid w:val="000F0AB8"/>
    <w:rsid w:val="000F2705"/>
    <w:rsid w:val="000F3462"/>
    <w:rsid w:val="0010482B"/>
    <w:rsid w:val="00111EFF"/>
    <w:rsid w:val="0011662B"/>
    <w:rsid w:val="00121971"/>
    <w:rsid w:val="00122A8B"/>
    <w:rsid w:val="00126CED"/>
    <w:rsid w:val="00132E11"/>
    <w:rsid w:val="00134993"/>
    <w:rsid w:val="00135E1E"/>
    <w:rsid w:val="00137407"/>
    <w:rsid w:val="001438C9"/>
    <w:rsid w:val="00143DB8"/>
    <w:rsid w:val="00145CBC"/>
    <w:rsid w:val="00155392"/>
    <w:rsid w:val="00156D40"/>
    <w:rsid w:val="001604C4"/>
    <w:rsid w:val="001627CF"/>
    <w:rsid w:val="00172C8D"/>
    <w:rsid w:val="001746AC"/>
    <w:rsid w:val="00176117"/>
    <w:rsid w:val="00180176"/>
    <w:rsid w:val="00184E45"/>
    <w:rsid w:val="001928F0"/>
    <w:rsid w:val="00192F20"/>
    <w:rsid w:val="00194DA2"/>
    <w:rsid w:val="001B0216"/>
    <w:rsid w:val="001B5345"/>
    <w:rsid w:val="001B5E45"/>
    <w:rsid w:val="001C1BB0"/>
    <w:rsid w:val="001C38CF"/>
    <w:rsid w:val="001C425B"/>
    <w:rsid w:val="001C49EA"/>
    <w:rsid w:val="001C511C"/>
    <w:rsid w:val="001C5A6F"/>
    <w:rsid w:val="001F1FAD"/>
    <w:rsid w:val="001F3021"/>
    <w:rsid w:val="001F7B03"/>
    <w:rsid w:val="002014D7"/>
    <w:rsid w:val="00205AA5"/>
    <w:rsid w:val="00205B8A"/>
    <w:rsid w:val="00205F20"/>
    <w:rsid w:val="0020751C"/>
    <w:rsid w:val="00213E97"/>
    <w:rsid w:val="002264D1"/>
    <w:rsid w:val="00242D51"/>
    <w:rsid w:val="002636B5"/>
    <w:rsid w:val="00272145"/>
    <w:rsid w:val="002749BA"/>
    <w:rsid w:val="00277E2B"/>
    <w:rsid w:val="0029077C"/>
    <w:rsid w:val="0029603C"/>
    <w:rsid w:val="002A0578"/>
    <w:rsid w:val="002A76EF"/>
    <w:rsid w:val="002B5AA9"/>
    <w:rsid w:val="002B5C84"/>
    <w:rsid w:val="002C0C37"/>
    <w:rsid w:val="002C1480"/>
    <w:rsid w:val="002C4330"/>
    <w:rsid w:val="002D5A83"/>
    <w:rsid w:val="002E08BF"/>
    <w:rsid w:val="002E59B8"/>
    <w:rsid w:val="003017F8"/>
    <w:rsid w:val="0030383E"/>
    <w:rsid w:val="0031387B"/>
    <w:rsid w:val="00314B0F"/>
    <w:rsid w:val="00314D25"/>
    <w:rsid w:val="00336712"/>
    <w:rsid w:val="00343FAB"/>
    <w:rsid w:val="00345189"/>
    <w:rsid w:val="003559E8"/>
    <w:rsid w:val="00357A41"/>
    <w:rsid w:val="0036726A"/>
    <w:rsid w:val="003675F5"/>
    <w:rsid w:val="00377019"/>
    <w:rsid w:val="003804A3"/>
    <w:rsid w:val="003807A3"/>
    <w:rsid w:val="00390051"/>
    <w:rsid w:val="003A3CB4"/>
    <w:rsid w:val="003A6EDB"/>
    <w:rsid w:val="003B0A42"/>
    <w:rsid w:val="003B35EA"/>
    <w:rsid w:val="003C538C"/>
    <w:rsid w:val="003D545A"/>
    <w:rsid w:val="003F05E4"/>
    <w:rsid w:val="003F5289"/>
    <w:rsid w:val="003F6E71"/>
    <w:rsid w:val="00400145"/>
    <w:rsid w:val="00402FF5"/>
    <w:rsid w:val="00426BDA"/>
    <w:rsid w:val="00444C65"/>
    <w:rsid w:val="00445B67"/>
    <w:rsid w:val="00451A7D"/>
    <w:rsid w:val="00451CF5"/>
    <w:rsid w:val="0046631E"/>
    <w:rsid w:val="00473C99"/>
    <w:rsid w:val="00475692"/>
    <w:rsid w:val="00480B18"/>
    <w:rsid w:val="00480E33"/>
    <w:rsid w:val="00483F5C"/>
    <w:rsid w:val="004869EB"/>
    <w:rsid w:val="00487D5F"/>
    <w:rsid w:val="00492197"/>
    <w:rsid w:val="004A1951"/>
    <w:rsid w:val="004B3A17"/>
    <w:rsid w:val="004B6487"/>
    <w:rsid w:val="004B7E31"/>
    <w:rsid w:val="004C11B9"/>
    <w:rsid w:val="004C79A8"/>
    <w:rsid w:val="004E5C65"/>
    <w:rsid w:val="004F26B5"/>
    <w:rsid w:val="004F3B81"/>
    <w:rsid w:val="004F5338"/>
    <w:rsid w:val="00514D32"/>
    <w:rsid w:val="00525482"/>
    <w:rsid w:val="00530D4D"/>
    <w:rsid w:val="00533F08"/>
    <w:rsid w:val="005340FB"/>
    <w:rsid w:val="00537C9C"/>
    <w:rsid w:val="00540F28"/>
    <w:rsid w:val="00555502"/>
    <w:rsid w:val="00574AE6"/>
    <w:rsid w:val="00582C9E"/>
    <w:rsid w:val="00594324"/>
    <w:rsid w:val="005B119F"/>
    <w:rsid w:val="005B1D6B"/>
    <w:rsid w:val="005B70F7"/>
    <w:rsid w:val="005D3A01"/>
    <w:rsid w:val="005D5083"/>
    <w:rsid w:val="005E1606"/>
    <w:rsid w:val="005E1983"/>
    <w:rsid w:val="005E3CDE"/>
    <w:rsid w:val="005F314A"/>
    <w:rsid w:val="006007AF"/>
    <w:rsid w:val="00600F33"/>
    <w:rsid w:val="00602358"/>
    <w:rsid w:val="006043CB"/>
    <w:rsid w:val="00614578"/>
    <w:rsid w:val="00616A97"/>
    <w:rsid w:val="0062015E"/>
    <w:rsid w:val="00636E7A"/>
    <w:rsid w:val="006406A6"/>
    <w:rsid w:val="0064181B"/>
    <w:rsid w:val="0064695F"/>
    <w:rsid w:val="0065315B"/>
    <w:rsid w:val="006605BF"/>
    <w:rsid w:val="006623CB"/>
    <w:rsid w:val="006639CA"/>
    <w:rsid w:val="00664179"/>
    <w:rsid w:val="00665184"/>
    <w:rsid w:val="00672CBF"/>
    <w:rsid w:val="00681F03"/>
    <w:rsid w:val="00682A4D"/>
    <w:rsid w:val="00683102"/>
    <w:rsid w:val="00683D87"/>
    <w:rsid w:val="00684DDF"/>
    <w:rsid w:val="00687B18"/>
    <w:rsid w:val="006967C0"/>
    <w:rsid w:val="006A425F"/>
    <w:rsid w:val="006B186B"/>
    <w:rsid w:val="006B30AD"/>
    <w:rsid w:val="006C137F"/>
    <w:rsid w:val="006C4BAB"/>
    <w:rsid w:val="006C5C43"/>
    <w:rsid w:val="006E1112"/>
    <w:rsid w:val="006E4769"/>
    <w:rsid w:val="006E7439"/>
    <w:rsid w:val="006F1CFF"/>
    <w:rsid w:val="006F224D"/>
    <w:rsid w:val="006F4EBF"/>
    <w:rsid w:val="00700A1B"/>
    <w:rsid w:val="007127FA"/>
    <w:rsid w:val="00725AC3"/>
    <w:rsid w:val="00726A64"/>
    <w:rsid w:val="00726E60"/>
    <w:rsid w:val="007320CB"/>
    <w:rsid w:val="007434E1"/>
    <w:rsid w:val="00750AF4"/>
    <w:rsid w:val="0075183E"/>
    <w:rsid w:val="00757178"/>
    <w:rsid w:val="00760FFF"/>
    <w:rsid w:val="00781ACA"/>
    <w:rsid w:val="0078640F"/>
    <w:rsid w:val="007908CF"/>
    <w:rsid w:val="00796FFF"/>
    <w:rsid w:val="007A13D9"/>
    <w:rsid w:val="007A22BB"/>
    <w:rsid w:val="007A26B5"/>
    <w:rsid w:val="007A2C73"/>
    <w:rsid w:val="007B0FAA"/>
    <w:rsid w:val="007C0491"/>
    <w:rsid w:val="007D2F19"/>
    <w:rsid w:val="007F17F1"/>
    <w:rsid w:val="00801262"/>
    <w:rsid w:val="00803339"/>
    <w:rsid w:val="00805206"/>
    <w:rsid w:val="008079EA"/>
    <w:rsid w:val="00823F9A"/>
    <w:rsid w:val="00825423"/>
    <w:rsid w:val="00826D76"/>
    <w:rsid w:val="008343A3"/>
    <w:rsid w:val="00835C97"/>
    <w:rsid w:val="00842558"/>
    <w:rsid w:val="0085679E"/>
    <w:rsid w:val="0086488E"/>
    <w:rsid w:val="00871C01"/>
    <w:rsid w:val="00877742"/>
    <w:rsid w:val="00881F9D"/>
    <w:rsid w:val="00882F03"/>
    <w:rsid w:val="00883EF4"/>
    <w:rsid w:val="008846BE"/>
    <w:rsid w:val="00891E7D"/>
    <w:rsid w:val="00897BF0"/>
    <w:rsid w:val="008A5373"/>
    <w:rsid w:val="008C39DD"/>
    <w:rsid w:val="008C4419"/>
    <w:rsid w:val="008C6229"/>
    <w:rsid w:val="008C777F"/>
    <w:rsid w:val="008D14F6"/>
    <w:rsid w:val="008D6463"/>
    <w:rsid w:val="00900F73"/>
    <w:rsid w:val="00902365"/>
    <w:rsid w:val="00907394"/>
    <w:rsid w:val="00907BAC"/>
    <w:rsid w:val="009212CE"/>
    <w:rsid w:val="009240F6"/>
    <w:rsid w:val="0093294D"/>
    <w:rsid w:val="00936DCF"/>
    <w:rsid w:val="009417FC"/>
    <w:rsid w:val="0094392F"/>
    <w:rsid w:val="00947824"/>
    <w:rsid w:val="0095135C"/>
    <w:rsid w:val="00951739"/>
    <w:rsid w:val="00952C48"/>
    <w:rsid w:val="00963FAC"/>
    <w:rsid w:val="00966C5D"/>
    <w:rsid w:val="009829A7"/>
    <w:rsid w:val="009841CA"/>
    <w:rsid w:val="00987AB8"/>
    <w:rsid w:val="009A07FD"/>
    <w:rsid w:val="009A5A04"/>
    <w:rsid w:val="009A7A52"/>
    <w:rsid w:val="009B0EB9"/>
    <w:rsid w:val="009B724B"/>
    <w:rsid w:val="009E1ACA"/>
    <w:rsid w:val="009F2DF2"/>
    <w:rsid w:val="009F5821"/>
    <w:rsid w:val="009F7FC6"/>
    <w:rsid w:val="00A07877"/>
    <w:rsid w:val="00A10147"/>
    <w:rsid w:val="00A12792"/>
    <w:rsid w:val="00A27AEE"/>
    <w:rsid w:val="00A32454"/>
    <w:rsid w:val="00A34CCE"/>
    <w:rsid w:val="00A34D8E"/>
    <w:rsid w:val="00A417BB"/>
    <w:rsid w:val="00A4255E"/>
    <w:rsid w:val="00A51EA5"/>
    <w:rsid w:val="00A56461"/>
    <w:rsid w:val="00A82FE0"/>
    <w:rsid w:val="00A87226"/>
    <w:rsid w:val="00A87FAD"/>
    <w:rsid w:val="00A915BA"/>
    <w:rsid w:val="00AB5AD3"/>
    <w:rsid w:val="00AB659B"/>
    <w:rsid w:val="00AC2075"/>
    <w:rsid w:val="00AC34BB"/>
    <w:rsid w:val="00AC3512"/>
    <w:rsid w:val="00AC66CA"/>
    <w:rsid w:val="00AE53FF"/>
    <w:rsid w:val="00AE6001"/>
    <w:rsid w:val="00AE6F23"/>
    <w:rsid w:val="00AF54DE"/>
    <w:rsid w:val="00B109A6"/>
    <w:rsid w:val="00B17D0D"/>
    <w:rsid w:val="00B2263D"/>
    <w:rsid w:val="00B3220C"/>
    <w:rsid w:val="00B40E2A"/>
    <w:rsid w:val="00B46A34"/>
    <w:rsid w:val="00B6044D"/>
    <w:rsid w:val="00B80636"/>
    <w:rsid w:val="00B821CD"/>
    <w:rsid w:val="00B82D3A"/>
    <w:rsid w:val="00B85E8C"/>
    <w:rsid w:val="00B978CA"/>
    <w:rsid w:val="00BA79A0"/>
    <w:rsid w:val="00BB4D87"/>
    <w:rsid w:val="00BB6DE1"/>
    <w:rsid w:val="00BC1086"/>
    <w:rsid w:val="00BC3620"/>
    <w:rsid w:val="00BC6350"/>
    <w:rsid w:val="00BD03E7"/>
    <w:rsid w:val="00BD0E38"/>
    <w:rsid w:val="00BD21F1"/>
    <w:rsid w:val="00BD54F8"/>
    <w:rsid w:val="00C01C0B"/>
    <w:rsid w:val="00C1278A"/>
    <w:rsid w:val="00C2432D"/>
    <w:rsid w:val="00C24369"/>
    <w:rsid w:val="00C24795"/>
    <w:rsid w:val="00C3294A"/>
    <w:rsid w:val="00C33181"/>
    <w:rsid w:val="00C34433"/>
    <w:rsid w:val="00C40F6D"/>
    <w:rsid w:val="00C57368"/>
    <w:rsid w:val="00C67422"/>
    <w:rsid w:val="00C7118E"/>
    <w:rsid w:val="00C80850"/>
    <w:rsid w:val="00CA54A7"/>
    <w:rsid w:val="00CB35EB"/>
    <w:rsid w:val="00CB58DC"/>
    <w:rsid w:val="00CB6AB6"/>
    <w:rsid w:val="00CC35C0"/>
    <w:rsid w:val="00CC4DA8"/>
    <w:rsid w:val="00CD225A"/>
    <w:rsid w:val="00CD49B9"/>
    <w:rsid w:val="00CD6E7A"/>
    <w:rsid w:val="00CE48CF"/>
    <w:rsid w:val="00CF1923"/>
    <w:rsid w:val="00CF5F4C"/>
    <w:rsid w:val="00D02F9C"/>
    <w:rsid w:val="00D045F7"/>
    <w:rsid w:val="00D04BAD"/>
    <w:rsid w:val="00D20839"/>
    <w:rsid w:val="00D25409"/>
    <w:rsid w:val="00D30D08"/>
    <w:rsid w:val="00D34849"/>
    <w:rsid w:val="00D35BCD"/>
    <w:rsid w:val="00D51727"/>
    <w:rsid w:val="00D51F8F"/>
    <w:rsid w:val="00D522FB"/>
    <w:rsid w:val="00D71968"/>
    <w:rsid w:val="00D732E3"/>
    <w:rsid w:val="00D77A1F"/>
    <w:rsid w:val="00D97A8A"/>
    <w:rsid w:val="00DA52BA"/>
    <w:rsid w:val="00DA717D"/>
    <w:rsid w:val="00DB3014"/>
    <w:rsid w:val="00DD0E4A"/>
    <w:rsid w:val="00DD58A2"/>
    <w:rsid w:val="00DE5E41"/>
    <w:rsid w:val="00DF469C"/>
    <w:rsid w:val="00E05D32"/>
    <w:rsid w:val="00E06420"/>
    <w:rsid w:val="00E116CE"/>
    <w:rsid w:val="00E14299"/>
    <w:rsid w:val="00E25D23"/>
    <w:rsid w:val="00E26521"/>
    <w:rsid w:val="00E27174"/>
    <w:rsid w:val="00E30D84"/>
    <w:rsid w:val="00E36C67"/>
    <w:rsid w:val="00E457BB"/>
    <w:rsid w:val="00E57A73"/>
    <w:rsid w:val="00E712EB"/>
    <w:rsid w:val="00E73B4C"/>
    <w:rsid w:val="00E76C59"/>
    <w:rsid w:val="00E800E1"/>
    <w:rsid w:val="00EB35A9"/>
    <w:rsid w:val="00EC1CCF"/>
    <w:rsid w:val="00EC3F3B"/>
    <w:rsid w:val="00EC71CD"/>
    <w:rsid w:val="00EE7251"/>
    <w:rsid w:val="00EF0BB6"/>
    <w:rsid w:val="00EF4901"/>
    <w:rsid w:val="00F23BF8"/>
    <w:rsid w:val="00F2683D"/>
    <w:rsid w:val="00F41588"/>
    <w:rsid w:val="00F44821"/>
    <w:rsid w:val="00F5154D"/>
    <w:rsid w:val="00F5306B"/>
    <w:rsid w:val="00F61073"/>
    <w:rsid w:val="00F65A69"/>
    <w:rsid w:val="00F70CDD"/>
    <w:rsid w:val="00F7365D"/>
    <w:rsid w:val="00F74821"/>
    <w:rsid w:val="00F76878"/>
    <w:rsid w:val="00F92531"/>
    <w:rsid w:val="00F96B2E"/>
    <w:rsid w:val="00F97C1C"/>
    <w:rsid w:val="00FA7B41"/>
    <w:rsid w:val="00FC0764"/>
    <w:rsid w:val="00FC27AA"/>
    <w:rsid w:val="00FD0D2E"/>
    <w:rsid w:val="00FD72BD"/>
    <w:rsid w:val="00FE50D4"/>
    <w:rsid w:val="00FE7B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43148AB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77C"/>
    <w:rPr>
      <w:rFonts w:ascii="Century Gothic" w:hAnsi="Century Gothic"/>
    </w:rPr>
  </w:style>
  <w:style w:type="paragraph" w:styleId="Ttol1">
    <w:name w:val="heading 1"/>
    <w:basedOn w:val="Normal"/>
    <w:next w:val="Normal"/>
    <w:link w:val="Ttol1Car"/>
    <w:uiPriority w:val="9"/>
    <w:qFormat/>
    <w:rsid w:val="0029077C"/>
    <w:pPr>
      <w:keepNext/>
      <w:keepLines/>
      <w:spacing w:before="240"/>
      <w:outlineLvl w:val="0"/>
    </w:pPr>
    <w:rPr>
      <w:rFonts w:eastAsiaTheme="majorEastAsia" w:cstheme="majorBidi"/>
      <w:color w:val="762870"/>
      <w:sz w:val="32"/>
      <w:szCs w:val="32"/>
    </w:rPr>
  </w:style>
  <w:style w:type="paragraph" w:styleId="Ttol2">
    <w:name w:val="heading 2"/>
    <w:basedOn w:val="Normal"/>
    <w:next w:val="Normal"/>
    <w:link w:val="Ttol2Car"/>
    <w:uiPriority w:val="9"/>
    <w:unhideWhenUsed/>
    <w:qFormat/>
    <w:rsid w:val="00C57368"/>
    <w:pPr>
      <w:keepNext/>
      <w:keepLines/>
      <w:spacing w:before="40"/>
      <w:outlineLvl w:val="1"/>
    </w:pPr>
    <w:rPr>
      <w:rFonts w:eastAsiaTheme="majorEastAsia" w:cstheme="majorBidi"/>
      <w:color w:val="762870"/>
      <w:sz w:val="28"/>
      <w:szCs w:val="26"/>
    </w:rPr>
  </w:style>
  <w:style w:type="paragraph" w:styleId="Ttol3">
    <w:name w:val="heading 3"/>
    <w:basedOn w:val="Normal"/>
    <w:next w:val="Normal"/>
    <w:link w:val="Ttol3Car"/>
    <w:uiPriority w:val="9"/>
    <w:unhideWhenUsed/>
    <w:qFormat/>
    <w:rsid w:val="00C57368"/>
    <w:pPr>
      <w:keepNext/>
      <w:keepLines/>
      <w:spacing w:before="40"/>
      <w:outlineLvl w:val="2"/>
    </w:pPr>
    <w:rPr>
      <w:rFonts w:eastAsiaTheme="majorEastAsia" w:cstheme="majorBidi"/>
      <w:color w:val="7030A0"/>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2D5A83"/>
    <w:pPr>
      <w:tabs>
        <w:tab w:val="center" w:pos="4819"/>
        <w:tab w:val="right" w:pos="9638"/>
      </w:tabs>
    </w:pPr>
  </w:style>
  <w:style w:type="character" w:customStyle="1" w:styleId="CapaleraCar">
    <w:name w:val="Capçalera Car"/>
    <w:basedOn w:val="Lletraperdefectedelpargraf"/>
    <w:link w:val="Capalera"/>
    <w:uiPriority w:val="99"/>
    <w:rsid w:val="002D5A83"/>
  </w:style>
  <w:style w:type="paragraph" w:styleId="Peu">
    <w:name w:val="footer"/>
    <w:basedOn w:val="Normal"/>
    <w:link w:val="PeuCar"/>
    <w:uiPriority w:val="99"/>
    <w:unhideWhenUsed/>
    <w:rsid w:val="00CC4DA8"/>
    <w:pPr>
      <w:tabs>
        <w:tab w:val="center" w:pos="4819"/>
        <w:tab w:val="right" w:pos="9638"/>
      </w:tabs>
    </w:pPr>
    <w:rPr>
      <w:color w:val="FFFFFF" w:themeColor="background1"/>
      <w:sz w:val="20"/>
    </w:rPr>
  </w:style>
  <w:style w:type="character" w:customStyle="1" w:styleId="PeuCar">
    <w:name w:val="Peu Car"/>
    <w:basedOn w:val="Lletraperdefectedelpargraf"/>
    <w:link w:val="Peu"/>
    <w:uiPriority w:val="99"/>
    <w:rsid w:val="00CC4DA8"/>
    <w:rPr>
      <w:rFonts w:ascii="Century Gothic" w:hAnsi="Century Gothic"/>
      <w:color w:val="FFFFFF" w:themeColor="background1"/>
      <w:sz w:val="20"/>
    </w:rPr>
  </w:style>
  <w:style w:type="character" w:styleId="Nmerodepgina">
    <w:name w:val="page number"/>
    <w:basedOn w:val="Lletraperdefectedelpargraf"/>
    <w:uiPriority w:val="99"/>
    <w:semiHidden/>
    <w:unhideWhenUsed/>
    <w:rsid w:val="002D5A83"/>
  </w:style>
  <w:style w:type="character" w:customStyle="1" w:styleId="Ttol1Car">
    <w:name w:val="Títol 1 Car"/>
    <w:basedOn w:val="Lletraperdefectedelpargraf"/>
    <w:link w:val="Ttol1"/>
    <w:uiPriority w:val="9"/>
    <w:rsid w:val="0029077C"/>
    <w:rPr>
      <w:rFonts w:ascii="Century Gothic" w:eastAsiaTheme="majorEastAsia" w:hAnsi="Century Gothic" w:cstheme="majorBidi"/>
      <w:color w:val="762870"/>
      <w:sz w:val="32"/>
      <w:szCs w:val="32"/>
    </w:rPr>
  </w:style>
  <w:style w:type="character" w:customStyle="1" w:styleId="Ttol2Car">
    <w:name w:val="Títol 2 Car"/>
    <w:basedOn w:val="Lletraperdefectedelpargraf"/>
    <w:link w:val="Ttol2"/>
    <w:uiPriority w:val="9"/>
    <w:rsid w:val="00C57368"/>
    <w:rPr>
      <w:rFonts w:ascii="Century Gothic" w:eastAsiaTheme="majorEastAsia" w:hAnsi="Century Gothic" w:cstheme="majorBidi"/>
      <w:color w:val="762870"/>
      <w:sz w:val="28"/>
      <w:szCs w:val="26"/>
    </w:rPr>
  </w:style>
  <w:style w:type="paragraph" w:styleId="Ttol">
    <w:name w:val="Title"/>
    <w:basedOn w:val="Normal"/>
    <w:next w:val="Normal"/>
    <w:link w:val="TtolCar"/>
    <w:uiPriority w:val="10"/>
    <w:qFormat/>
    <w:rsid w:val="00BD0E38"/>
    <w:pPr>
      <w:contextualSpacing/>
    </w:pPr>
    <w:rPr>
      <w:rFonts w:eastAsiaTheme="majorEastAsia" w:cstheme="majorBidi"/>
      <w:b/>
      <w:spacing w:val="-10"/>
      <w:kern w:val="28"/>
      <w:sz w:val="56"/>
      <w:szCs w:val="56"/>
    </w:rPr>
  </w:style>
  <w:style w:type="character" w:customStyle="1" w:styleId="TtolCar">
    <w:name w:val="Títol Car"/>
    <w:basedOn w:val="Lletraperdefectedelpargraf"/>
    <w:link w:val="Ttol"/>
    <w:uiPriority w:val="10"/>
    <w:rsid w:val="00BD0E38"/>
    <w:rPr>
      <w:rFonts w:ascii="Century Gothic" w:eastAsiaTheme="majorEastAsia" w:hAnsi="Century Gothic" w:cstheme="majorBidi"/>
      <w:b/>
      <w:spacing w:val="-10"/>
      <w:kern w:val="28"/>
      <w:sz w:val="56"/>
      <w:szCs w:val="56"/>
    </w:rPr>
  </w:style>
  <w:style w:type="paragraph" w:styleId="Subttol">
    <w:name w:val="Subtitle"/>
    <w:basedOn w:val="Normal"/>
    <w:next w:val="Normal"/>
    <w:link w:val="SubttolC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tolCar">
    <w:name w:val="Subtítol Car"/>
    <w:basedOn w:val="Lletraperdefectedelpargraf"/>
    <w:link w:val="Subttol"/>
    <w:uiPriority w:val="11"/>
    <w:rsid w:val="0029077C"/>
    <w:rPr>
      <w:rFonts w:ascii="Century Gothic" w:eastAsiaTheme="minorEastAsia" w:hAnsi="Century Gothic"/>
      <w:color w:val="5A5A5A" w:themeColor="text1" w:themeTint="A5"/>
      <w:spacing w:val="15"/>
      <w:sz w:val="22"/>
      <w:szCs w:val="22"/>
    </w:rPr>
  </w:style>
  <w:style w:type="character" w:styleId="mfasisubtil">
    <w:name w:val="Subtle Emphasis"/>
    <w:basedOn w:val="Lletraperdefectedelpargraf"/>
    <w:uiPriority w:val="19"/>
    <w:qFormat/>
    <w:rsid w:val="0029077C"/>
    <w:rPr>
      <w:rFonts w:ascii="Century Gothic" w:hAnsi="Century Gothic"/>
      <w:i/>
      <w:iCs/>
      <w:color w:val="404040" w:themeColor="text1" w:themeTint="BF"/>
    </w:rPr>
  </w:style>
  <w:style w:type="character" w:styleId="mfasi">
    <w:name w:val="Emphasis"/>
    <w:basedOn w:val="Lletraperdefectedelpargraf"/>
    <w:uiPriority w:val="20"/>
    <w:qFormat/>
    <w:rsid w:val="0029077C"/>
    <w:rPr>
      <w:rFonts w:ascii="Century Gothic" w:hAnsi="Century Gothic"/>
      <w:i/>
      <w:iCs/>
    </w:rPr>
  </w:style>
  <w:style w:type="character" w:styleId="mfasiintens">
    <w:name w:val="Intense Emphasis"/>
    <w:basedOn w:val="Lletraperdefectedelpargraf"/>
    <w:uiPriority w:val="21"/>
    <w:qFormat/>
    <w:rsid w:val="0029077C"/>
    <w:rPr>
      <w:rFonts w:ascii="Century Gothic" w:hAnsi="Century Gothic"/>
      <w:i/>
      <w:iCs/>
      <w:color w:val="762870"/>
    </w:rPr>
  </w:style>
  <w:style w:type="character" w:styleId="Textennegreta">
    <w:name w:val="Strong"/>
    <w:basedOn w:val="Lletraperdefectedelpargraf"/>
    <w:uiPriority w:val="22"/>
    <w:qFormat/>
    <w:rsid w:val="0029077C"/>
    <w:rPr>
      <w:rFonts w:ascii="Century Gothic" w:hAnsi="Century Gothic"/>
      <w:b/>
      <w:bCs/>
    </w:rPr>
  </w:style>
  <w:style w:type="paragraph" w:styleId="Cita">
    <w:name w:val="Quote"/>
    <w:basedOn w:val="Normal"/>
    <w:next w:val="Normal"/>
    <w:link w:val="CitaCar"/>
    <w:uiPriority w:val="29"/>
    <w:qFormat/>
    <w:rsid w:val="0029077C"/>
    <w:pPr>
      <w:spacing w:before="200" w:after="160"/>
      <w:ind w:left="864" w:right="864"/>
      <w:jc w:val="center"/>
    </w:pPr>
    <w:rPr>
      <w:i/>
      <w:iCs/>
      <w:color w:val="404040" w:themeColor="text1" w:themeTint="BF"/>
    </w:rPr>
  </w:style>
  <w:style w:type="character" w:customStyle="1" w:styleId="CitaCar">
    <w:name w:val="Cita Car"/>
    <w:basedOn w:val="Lletraperdefectedelpargraf"/>
    <w:link w:val="Cita"/>
    <w:uiPriority w:val="29"/>
    <w:rsid w:val="0029077C"/>
    <w:rPr>
      <w:rFonts w:ascii="Century Gothic" w:hAnsi="Century Gothic"/>
      <w:i/>
      <w:iCs/>
      <w:color w:val="404040" w:themeColor="text1" w:themeTint="BF"/>
    </w:rPr>
  </w:style>
  <w:style w:type="paragraph" w:styleId="Citaintensa">
    <w:name w:val="Intense Quote"/>
    <w:basedOn w:val="Normal"/>
    <w:next w:val="Normal"/>
    <w:link w:val="CitaintensaC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CitaintensaCar">
    <w:name w:val="Cita intensa Car"/>
    <w:basedOn w:val="Lletraperdefectedelpargraf"/>
    <w:link w:val="Citaintensa"/>
    <w:uiPriority w:val="30"/>
    <w:rsid w:val="0029077C"/>
    <w:rPr>
      <w:rFonts w:ascii="Century Gothic" w:hAnsi="Century Gothic"/>
      <w:i/>
      <w:iCs/>
      <w:color w:val="762870"/>
    </w:rPr>
  </w:style>
  <w:style w:type="character" w:styleId="Refernciasubtil">
    <w:name w:val="Subtle Reference"/>
    <w:basedOn w:val="Lletraperdefectedelpargraf"/>
    <w:uiPriority w:val="31"/>
    <w:qFormat/>
    <w:rsid w:val="0029077C"/>
    <w:rPr>
      <w:rFonts w:ascii="Century Gothic" w:hAnsi="Century Gothic"/>
      <w:smallCaps/>
      <w:color w:val="5A5A5A" w:themeColor="text1" w:themeTint="A5"/>
    </w:rPr>
  </w:style>
  <w:style w:type="character" w:styleId="Refernciaintensa">
    <w:name w:val="Intense Reference"/>
    <w:basedOn w:val="Lletraperdefectedelpargraf"/>
    <w:uiPriority w:val="32"/>
    <w:qFormat/>
    <w:rsid w:val="0029077C"/>
    <w:rPr>
      <w:rFonts w:ascii="Century Gothic" w:hAnsi="Century Gothic"/>
      <w:b/>
      <w:bCs/>
      <w:smallCaps/>
      <w:color w:val="762870"/>
      <w:spacing w:val="5"/>
    </w:rPr>
  </w:style>
  <w:style w:type="character" w:styleId="Ttoldelllibre">
    <w:name w:val="Book Title"/>
    <w:basedOn w:val="Lletraperdefectedelpargraf"/>
    <w:uiPriority w:val="33"/>
    <w:qFormat/>
    <w:rsid w:val="0029077C"/>
    <w:rPr>
      <w:rFonts w:ascii="Century Gothic" w:hAnsi="Century Gothic"/>
      <w:b/>
      <w:bCs/>
      <w:i/>
      <w:iCs/>
      <w:spacing w:val="5"/>
    </w:rPr>
  </w:style>
  <w:style w:type="paragraph" w:styleId="Pargrafdellista">
    <w:name w:val="List Paragraph"/>
    <w:basedOn w:val="Normal"/>
    <w:uiPriority w:val="34"/>
    <w:qFormat/>
    <w:rsid w:val="0029077C"/>
    <w:pPr>
      <w:ind w:left="720"/>
      <w:contextualSpacing/>
    </w:pPr>
  </w:style>
  <w:style w:type="paragraph" w:customStyle="1" w:styleId="Style1">
    <w:name w:val="Style1"/>
    <w:basedOn w:val="Data"/>
    <w:qFormat/>
    <w:rsid w:val="00BD0E38"/>
    <w:pPr>
      <w:jc w:val="right"/>
    </w:pPr>
    <w:rPr>
      <w:b/>
      <w:sz w:val="28"/>
    </w:rPr>
  </w:style>
  <w:style w:type="table" w:styleId="Taulaambquadrcula">
    <w:name w:val="Table Grid"/>
    <w:basedOn w:val="Taula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
    <w:next w:val="Normal"/>
    <w:link w:val="DataCar"/>
    <w:uiPriority w:val="99"/>
    <w:semiHidden/>
    <w:unhideWhenUsed/>
    <w:rsid w:val="00BD0E38"/>
  </w:style>
  <w:style w:type="character" w:customStyle="1" w:styleId="DataCar">
    <w:name w:val="Data Car"/>
    <w:basedOn w:val="Lletraperdefectedelpargraf"/>
    <w:link w:val="Data"/>
    <w:uiPriority w:val="99"/>
    <w:semiHidden/>
    <w:rsid w:val="00BD0E38"/>
    <w:rPr>
      <w:rFonts w:ascii="Century Gothic" w:hAnsi="Century Gothic"/>
    </w:rPr>
  </w:style>
  <w:style w:type="character" w:styleId="Refernciadecomentari">
    <w:name w:val="annotation reference"/>
    <w:basedOn w:val="Lletraperdefectedelpargraf"/>
    <w:uiPriority w:val="99"/>
    <w:semiHidden/>
    <w:unhideWhenUsed/>
    <w:rsid w:val="00B109A6"/>
    <w:rPr>
      <w:sz w:val="18"/>
      <w:szCs w:val="18"/>
    </w:rPr>
  </w:style>
  <w:style w:type="paragraph" w:styleId="Textdecomentari">
    <w:name w:val="annotation text"/>
    <w:basedOn w:val="Normal"/>
    <w:link w:val="TextdecomentariCar"/>
    <w:uiPriority w:val="99"/>
    <w:unhideWhenUsed/>
    <w:rsid w:val="00B109A6"/>
  </w:style>
  <w:style w:type="character" w:customStyle="1" w:styleId="TextdecomentariCar">
    <w:name w:val="Text de comentari Car"/>
    <w:basedOn w:val="Lletraperdefectedelpargraf"/>
    <w:link w:val="Textdecomentari"/>
    <w:uiPriority w:val="99"/>
    <w:rsid w:val="00B109A6"/>
    <w:rPr>
      <w:rFonts w:ascii="Century Gothic" w:hAnsi="Century Gothic"/>
    </w:rPr>
  </w:style>
  <w:style w:type="paragraph" w:styleId="Temadelcomentari">
    <w:name w:val="annotation subject"/>
    <w:basedOn w:val="Textdecomentari"/>
    <w:next w:val="Textdecomentari"/>
    <w:link w:val="TemadelcomentariCar"/>
    <w:uiPriority w:val="99"/>
    <w:semiHidden/>
    <w:unhideWhenUsed/>
    <w:rsid w:val="00B109A6"/>
    <w:rPr>
      <w:b/>
      <w:bCs/>
      <w:sz w:val="20"/>
      <w:szCs w:val="20"/>
    </w:rPr>
  </w:style>
  <w:style w:type="character" w:customStyle="1" w:styleId="TemadelcomentariCar">
    <w:name w:val="Tema del comentari Car"/>
    <w:basedOn w:val="TextdecomentariCar"/>
    <w:link w:val="Temadelcomentari"/>
    <w:uiPriority w:val="99"/>
    <w:semiHidden/>
    <w:rsid w:val="00B109A6"/>
    <w:rPr>
      <w:rFonts w:ascii="Century Gothic" w:hAnsi="Century Gothic"/>
      <w:b/>
      <w:bCs/>
      <w:sz w:val="20"/>
      <w:szCs w:val="20"/>
    </w:rPr>
  </w:style>
  <w:style w:type="paragraph" w:styleId="Textdeglobus">
    <w:name w:val="Balloon Text"/>
    <w:basedOn w:val="Normal"/>
    <w:link w:val="TextdeglobusCar"/>
    <w:uiPriority w:val="99"/>
    <w:semiHidden/>
    <w:unhideWhenUsed/>
    <w:rsid w:val="00B109A6"/>
    <w:rPr>
      <w:rFonts w:ascii="Times New Roman" w:hAnsi="Times New Roman" w:cs="Times New Roman"/>
      <w:sz w:val="18"/>
      <w:szCs w:val="18"/>
    </w:rPr>
  </w:style>
  <w:style w:type="character" w:customStyle="1" w:styleId="TextdeglobusCar">
    <w:name w:val="Text de globus Car"/>
    <w:basedOn w:val="Lletraperdefectedelpargraf"/>
    <w:link w:val="Textdeglobus"/>
    <w:uiPriority w:val="99"/>
    <w:semiHidden/>
    <w:rsid w:val="00B109A6"/>
    <w:rPr>
      <w:rFonts w:ascii="Times New Roman" w:hAnsi="Times New Roman" w:cs="Times New Roman"/>
      <w:sz w:val="18"/>
      <w:szCs w:val="18"/>
    </w:rPr>
  </w:style>
  <w:style w:type="character" w:styleId="Enlla">
    <w:name w:val="Hyperlink"/>
    <w:basedOn w:val="Lletraperdefectedelpargraf"/>
    <w:uiPriority w:val="99"/>
    <w:unhideWhenUsed/>
    <w:rsid w:val="00803339"/>
    <w:rPr>
      <w:color w:val="0563C1" w:themeColor="hyperlink"/>
      <w:u w:val="single"/>
    </w:rPr>
  </w:style>
  <w:style w:type="character" w:customStyle="1" w:styleId="Ttol3Car">
    <w:name w:val="Títol 3 Car"/>
    <w:basedOn w:val="Lletraperdefectedelpargraf"/>
    <w:link w:val="Ttol3"/>
    <w:uiPriority w:val="9"/>
    <w:rsid w:val="00C57368"/>
    <w:rPr>
      <w:rFonts w:ascii="Century Gothic" w:eastAsiaTheme="majorEastAsia" w:hAnsi="Century Gothic" w:cstheme="majorBidi"/>
      <w:color w:val="7030A0"/>
    </w:rPr>
  </w:style>
  <w:style w:type="paragraph" w:styleId="TtoldelIDC">
    <w:name w:val="TOC Heading"/>
    <w:basedOn w:val="Ttol1"/>
    <w:next w:val="Normal"/>
    <w:uiPriority w:val="39"/>
    <w:unhideWhenUsed/>
    <w:qFormat/>
    <w:rsid w:val="00D732E3"/>
    <w:pPr>
      <w:spacing w:line="259" w:lineRule="auto"/>
      <w:outlineLvl w:val="9"/>
    </w:pPr>
    <w:rPr>
      <w:rFonts w:asciiTheme="majorHAnsi" w:hAnsiTheme="majorHAnsi"/>
      <w:color w:val="2E74B5" w:themeColor="accent1" w:themeShade="BF"/>
      <w:lang w:val="ca-ES" w:eastAsia="ca-ES"/>
    </w:rPr>
  </w:style>
  <w:style w:type="paragraph" w:styleId="IDC1">
    <w:name w:val="toc 1"/>
    <w:basedOn w:val="Normal"/>
    <w:next w:val="Normal"/>
    <w:autoRedefine/>
    <w:uiPriority w:val="39"/>
    <w:unhideWhenUsed/>
    <w:rsid w:val="00D732E3"/>
    <w:pPr>
      <w:spacing w:after="100"/>
    </w:pPr>
  </w:style>
  <w:style w:type="paragraph" w:styleId="Textdenotaapeudepgina">
    <w:name w:val="footnote text"/>
    <w:aliases w:val="Fußnote,Footnote Text Char Char,Footnote Text Char,single space,footnote text,FOOTNOTES,fn,Footnote, Char1 Char,Footnote Char1,stile 1,Footnote1,Footnote2,Footnote3,Footnote4,Footnote5,Footnote6,Footnote7,Footnote8,Footnote9"/>
    <w:basedOn w:val="Normal"/>
    <w:link w:val="TextdenotaapeudepginaCar"/>
    <w:semiHidden/>
    <w:unhideWhenUsed/>
    <w:rsid w:val="006406A6"/>
    <w:rPr>
      <w:sz w:val="20"/>
      <w:szCs w:val="20"/>
    </w:rPr>
  </w:style>
  <w:style w:type="character" w:customStyle="1" w:styleId="TextdenotaapeudepginaCar">
    <w:name w:val="Text de nota a peu de pàgina Car"/>
    <w:aliases w:val="Fußnote Car,Footnote Text Char Char Car,Footnote Text Char Car,single space Car,footnote text Car,FOOTNOTES Car,fn Car,Footnote Car, Char1 Char Car,Footnote Char1 Car,stile 1 Car,Footnote1 Car,Footnote2 Car,Footnote3 Car"/>
    <w:basedOn w:val="Lletraperdefectedelpargraf"/>
    <w:link w:val="Textdenotaapeudepgina"/>
    <w:semiHidden/>
    <w:rsid w:val="006406A6"/>
    <w:rPr>
      <w:rFonts w:ascii="Century Gothic" w:hAnsi="Century Gothic"/>
      <w:sz w:val="20"/>
      <w:szCs w:val="20"/>
    </w:rPr>
  </w:style>
  <w:style w:type="character" w:styleId="Refernciadenotaapeudepgina">
    <w:name w:val="footnote reference"/>
    <w:basedOn w:val="Lletraperdefectedelpargraf"/>
    <w:semiHidden/>
    <w:unhideWhenUsed/>
    <w:rsid w:val="006406A6"/>
    <w:rPr>
      <w:vertAlign w:val="superscript"/>
    </w:rPr>
  </w:style>
  <w:style w:type="paragraph" w:styleId="IDC2">
    <w:name w:val="toc 2"/>
    <w:basedOn w:val="Normal"/>
    <w:next w:val="Normal"/>
    <w:autoRedefine/>
    <w:uiPriority w:val="39"/>
    <w:unhideWhenUsed/>
    <w:rsid w:val="00F5306B"/>
    <w:pPr>
      <w:spacing w:after="100"/>
      <w:ind w:left="240"/>
    </w:pPr>
  </w:style>
  <w:style w:type="table" w:styleId="Taulaambquadrcula4-mfasi5">
    <w:name w:val="Grid Table 4 Accent 5"/>
    <w:basedOn w:val="Taulanormal"/>
    <w:uiPriority w:val="49"/>
    <w:rsid w:val="00E57A7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senseresoldre">
    <w:name w:val="Unresolved Mention"/>
    <w:basedOn w:val="Lletraperdefectedelpargraf"/>
    <w:uiPriority w:val="99"/>
    <w:rsid w:val="0095135C"/>
    <w:rPr>
      <w:color w:val="605E5C"/>
      <w:shd w:val="clear" w:color="auto" w:fill="E1DFDD"/>
    </w:rPr>
  </w:style>
  <w:style w:type="paragraph" w:styleId="IDC3">
    <w:name w:val="toc 3"/>
    <w:basedOn w:val="Normal"/>
    <w:next w:val="Normal"/>
    <w:autoRedefine/>
    <w:uiPriority w:val="39"/>
    <w:unhideWhenUsed/>
    <w:rsid w:val="00BD54F8"/>
    <w:pPr>
      <w:spacing w:after="100"/>
      <w:ind w:left="480"/>
    </w:pPr>
  </w:style>
  <w:style w:type="character" w:styleId="Enllavisitat">
    <w:name w:val="FollowedHyperlink"/>
    <w:basedOn w:val="Lletraperdefectedelpargraf"/>
    <w:uiPriority w:val="99"/>
    <w:semiHidden/>
    <w:unhideWhenUsed/>
    <w:rsid w:val="007F17F1"/>
    <w:rPr>
      <w:color w:val="954F72" w:themeColor="followedHyperlink"/>
      <w:u w:val="single"/>
    </w:rPr>
  </w:style>
  <w:style w:type="table" w:styleId="Taulaambquadrcula5fosca-mfasi5">
    <w:name w:val="Grid Table 5 Dark Accent 5"/>
    <w:basedOn w:val="Taulanormal"/>
    <w:uiPriority w:val="50"/>
    <w:rsid w:val="001219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915770">
      <w:bodyDiv w:val="1"/>
      <w:marLeft w:val="0"/>
      <w:marRight w:val="0"/>
      <w:marTop w:val="0"/>
      <w:marBottom w:val="0"/>
      <w:divBdr>
        <w:top w:val="none" w:sz="0" w:space="0" w:color="auto"/>
        <w:left w:val="none" w:sz="0" w:space="0" w:color="auto"/>
        <w:bottom w:val="none" w:sz="0" w:space="0" w:color="auto"/>
        <w:right w:val="none" w:sz="0" w:space="0" w:color="auto"/>
      </w:divBdr>
    </w:div>
    <w:div w:id="722027715">
      <w:bodyDiv w:val="1"/>
      <w:marLeft w:val="0"/>
      <w:marRight w:val="0"/>
      <w:marTop w:val="0"/>
      <w:marBottom w:val="0"/>
      <w:divBdr>
        <w:top w:val="none" w:sz="0" w:space="0" w:color="auto"/>
        <w:left w:val="none" w:sz="0" w:space="0" w:color="auto"/>
        <w:bottom w:val="none" w:sz="0" w:space="0" w:color="auto"/>
        <w:right w:val="none" w:sz="0" w:space="0" w:color="auto"/>
      </w:divBdr>
    </w:div>
    <w:div w:id="1011109676">
      <w:bodyDiv w:val="1"/>
      <w:marLeft w:val="0"/>
      <w:marRight w:val="0"/>
      <w:marTop w:val="0"/>
      <w:marBottom w:val="0"/>
      <w:divBdr>
        <w:top w:val="none" w:sz="0" w:space="0" w:color="auto"/>
        <w:left w:val="none" w:sz="0" w:space="0" w:color="auto"/>
        <w:bottom w:val="none" w:sz="0" w:space="0" w:color="auto"/>
        <w:right w:val="none" w:sz="0" w:space="0" w:color="auto"/>
      </w:divBdr>
    </w:div>
    <w:div w:id="1735663066">
      <w:bodyDiv w:val="1"/>
      <w:marLeft w:val="0"/>
      <w:marRight w:val="0"/>
      <w:marTop w:val="0"/>
      <w:marBottom w:val="0"/>
      <w:divBdr>
        <w:top w:val="none" w:sz="0" w:space="0" w:color="auto"/>
        <w:left w:val="none" w:sz="0" w:space="0" w:color="auto"/>
        <w:bottom w:val="none" w:sz="0" w:space="0" w:color="auto"/>
        <w:right w:val="none" w:sz="0" w:space="0" w:color="auto"/>
      </w:divBdr>
      <w:divsChild>
        <w:div w:id="13044993">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01AC1-8EE7-4AF0-95E5-B1509E53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862</Words>
  <Characters>4915</Characters>
  <Application>Microsoft Office Word</Application>
  <DocSecurity>0</DocSecurity>
  <Lines>40</Lines>
  <Paragraphs>11</Paragraphs>
  <ScaleCrop>false</ScaleCrop>
  <HeadingPairs>
    <vt:vector size="6" baseType="variant">
      <vt:variant>
        <vt:lpstr>Títol</vt:lpstr>
      </vt:variant>
      <vt:variant>
        <vt:i4>1</vt:i4>
      </vt:variant>
      <vt:variant>
        <vt:lpstr>Tytuł</vt:lpstr>
      </vt:variant>
      <vt:variant>
        <vt:i4>1</vt:i4>
      </vt:variant>
      <vt:variant>
        <vt:lpstr>Title</vt:lpstr>
      </vt:variant>
      <vt:variant>
        <vt:i4>1</vt:i4>
      </vt:variant>
    </vt:vector>
  </HeadingPairs>
  <TitlesOfParts>
    <vt:vector size="3" baseType="lpstr">
      <vt:lpstr/>
      <vt:lpstr/>
      <vt:lpstr/>
    </vt:vector>
  </TitlesOfParts>
  <Company>PAYMILL GmbH</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Walsh</dc:creator>
  <cp:keywords/>
  <dc:description/>
  <cp:lastModifiedBy>Albert Sorrosal</cp:lastModifiedBy>
  <cp:revision>11</cp:revision>
  <cp:lastPrinted>2019-01-29T14:09:00Z</cp:lastPrinted>
  <dcterms:created xsi:type="dcterms:W3CDTF">2019-02-01T15:55:00Z</dcterms:created>
  <dcterms:modified xsi:type="dcterms:W3CDTF">2019-03-07T14:45:00Z</dcterms:modified>
</cp:coreProperties>
</file>